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447" w:rsidRPr="003113D9" w:rsidRDefault="00216076" w:rsidP="00216076">
      <w:pPr>
        <w:ind w:left="709" w:hanging="709"/>
        <w:jc w:val="both"/>
        <w:rPr>
          <w:rFonts w:ascii="Calibri" w:hAnsi="Calibri" w:cs="Calibri"/>
          <w:b/>
          <w:bCs/>
          <w:color w:val="000080"/>
          <w:sz w:val="32"/>
          <w:szCs w:val="32"/>
        </w:rPr>
      </w:pPr>
      <w:r>
        <w:rPr>
          <w:rFonts w:ascii="Calibri" w:eastAsia="Calibri" w:hAnsi="Calibri"/>
          <w:b/>
          <w:bCs/>
          <w:color w:val="0080C1"/>
          <w:sz w:val="36"/>
          <w:szCs w:val="36"/>
        </w:rPr>
        <w:t>4.2</w:t>
      </w:r>
      <w:r w:rsidRPr="00216076">
        <w:rPr>
          <w:rFonts w:ascii="Calibri" w:eastAsia="Calibri" w:hAnsi="Calibri"/>
          <w:b/>
          <w:bCs/>
          <w:color w:val="0080C1"/>
          <w:sz w:val="36"/>
          <w:szCs w:val="36"/>
        </w:rPr>
        <w:tab/>
      </w:r>
      <w:r>
        <w:rPr>
          <w:rFonts w:ascii="Calibri" w:eastAsia="Calibri" w:hAnsi="Calibri"/>
          <w:b/>
          <w:bCs/>
          <w:color w:val="0080C1"/>
          <w:sz w:val="36"/>
          <w:szCs w:val="36"/>
        </w:rPr>
        <w:t xml:space="preserve">Mesures econòmiques pel finançament de l’aplicació de la Llei 5/2003 </w:t>
      </w:r>
    </w:p>
    <w:p w:rsidR="00E92447" w:rsidRDefault="00E92447" w:rsidP="00CE2B12">
      <w:pPr>
        <w:jc w:val="both"/>
        <w:rPr>
          <w:rFonts w:ascii="Calibri" w:hAnsi="Calibri" w:cs="Calibri"/>
        </w:rPr>
      </w:pPr>
    </w:p>
    <w:p w:rsidR="001707B9" w:rsidRPr="001707B9" w:rsidRDefault="001707B9" w:rsidP="001707B9">
      <w:pPr>
        <w:spacing w:after="200" w:line="276" w:lineRule="auto"/>
        <w:ind w:left="1418" w:hanging="1418"/>
        <w:jc w:val="both"/>
        <w:rPr>
          <w:rFonts w:ascii="Calibri" w:eastAsia="Calibri" w:hAnsi="Calibri"/>
          <w:b/>
          <w:bCs/>
          <w:color w:val="0080C1"/>
          <w:sz w:val="10"/>
          <w:szCs w:val="10"/>
        </w:rPr>
      </w:pPr>
    </w:p>
    <w:p w:rsidR="001707B9" w:rsidRPr="0000715B" w:rsidRDefault="001707B9" w:rsidP="001707B9">
      <w:pPr>
        <w:spacing w:after="200" w:line="276" w:lineRule="auto"/>
        <w:ind w:left="1418" w:hanging="1418"/>
        <w:jc w:val="both"/>
        <w:rPr>
          <w:rFonts w:ascii="Calibri" w:eastAsia="Calibri" w:hAnsi="Calibri"/>
          <w:b/>
          <w:bCs/>
          <w:color w:val="0080C1"/>
          <w:sz w:val="28"/>
          <w:szCs w:val="28"/>
        </w:rPr>
      </w:pPr>
      <w:r w:rsidRPr="0000715B">
        <w:rPr>
          <w:rFonts w:ascii="Calibri" w:eastAsia="Calibri" w:hAnsi="Calibri"/>
          <w:b/>
          <w:bCs/>
          <w:color w:val="0080C1"/>
          <w:sz w:val="28"/>
          <w:szCs w:val="28"/>
        </w:rPr>
        <w:t>4.</w:t>
      </w:r>
      <w:r>
        <w:rPr>
          <w:rFonts w:ascii="Calibri" w:eastAsia="Calibri" w:hAnsi="Calibri"/>
          <w:b/>
          <w:bCs/>
          <w:color w:val="0080C1"/>
          <w:sz w:val="28"/>
          <w:szCs w:val="28"/>
        </w:rPr>
        <w:t>2</w:t>
      </w:r>
      <w:r w:rsidRPr="0000715B">
        <w:rPr>
          <w:rFonts w:ascii="Calibri" w:eastAsia="Calibri" w:hAnsi="Calibri"/>
          <w:b/>
          <w:bCs/>
          <w:color w:val="0080C1"/>
          <w:sz w:val="28"/>
          <w:szCs w:val="28"/>
        </w:rPr>
        <w:t xml:space="preserve">.1  </w:t>
      </w:r>
      <w:r>
        <w:rPr>
          <w:rFonts w:ascii="Calibri" w:eastAsia="Calibri" w:hAnsi="Calibri"/>
          <w:b/>
          <w:bCs/>
          <w:color w:val="0080C1"/>
          <w:sz w:val="28"/>
          <w:szCs w:val="28"/>
        </w:rPr>
        <w:t>Figures d’ingrés, des d’un criteri jurídico-pràctic</w:t>
      </w:r>
    </w:p>
    <w:p w:rsidR="00E92447" w:rsidRPr="00F05C0E" w:rsidRDefault="00E92447" w:rsidP="00CE2B12">
      <w:pPr>
        <w:jc w:val="both"/>
        <w:rPr>
          <w:rFonts w:ascii="Calibri" w:hAnsi="Calibri" w:cs="Calibri"/>
        </w:rPr>
      </w:pPr>
      <w:r w:rsidRPr="00F05C0E">
        <w:rPr>
          <w:rFonts w:ascii="Calibri" w:hAnsi="Calibri" w:cs="Calibri"/>
        </w:rPr>
        <w:t>El cost, per a l’Ajuntament, de l’aplicació de les mesures previstes a l’article 3, lletres a), b) i e) de la L5/2003, quan es vegi obligat a substituir els obligats, comprèn, des del punt de vista temporal, dos factors:</w:t>
      </w:r>
    </w:p>
    <w:p w:rsidR="00E92447" w:rsidRPr="00F05C0E" w:rsidRDefault="00E92447" w:rsidP="00CE2B12">
      <w:pPr>
        <w:numPr>
          <w:ilvl w:val="0"/>
          <w:numId w:val="3"/>
        </w:numPr>
        <w:spacing w:before="240"/>
        <w:jc w:val="both"/>
        <w:rPr>
          <w:rFonts w:ascii="Calibri" w:hAnsi="Calibri" w:cs="Calibri"/>
        </w:rPr>
      </w:pPr>
      <w:r w:rsidRPr="00F05C0E">
        <w:rPr>
          <w:rFonts w:ascii="Calibri" w:hAnsi="Calibri" w:cs="Calibri"/>
        </w:rPr>
        <w:t xml:space="preserve">El cost inicial que inclou l’establiment de la servitud (indemnització) i realització de l’estassada en la franja de protecció perimetral i parcel·les </w:t>
      </w:r>
      <w:r w:rsidR="00CD2050">
        <w:rPr>
          <w:rFonts w:ascii="Calibri" w:hAnsi="Calibri" w:cs="Calibri"/>
        </w:rPr>
        <w:t>interiors</w:t>
      </w:r>
      <w:r w:rsidRPr="00F05C0E">
        <w:rPr>
          <w:rFonts w:ascii="Calibri" w:hAnsi="Calibri" w:cs="Calibri"/>
        </w:rPr>
        <w:t xml:space="preserve">, i </w:t>
      </w:r>
    </w:p>
    <w:p w:rsidR="00E92447" w:rsidRPr="00F05C0E" w:rsidRDefault="00E92447" w:rsidP="00CE2B12">
      <w:pPr>
        <w:numPr>
          <w:ilvl w:val="0"/>
          <w:numId w:val="3"/>
        </w:numPr>
        <w:spacing w:before="240"/>
        <w:jc w:val="both"/>
        <w:rPr>
          <w:rFonts w:ascii="Calibri" w:hAnsi="Calibri" w:cs="Calibri"/>
        </w:rPr>
      </w:pPr>
      <w:r w:rsidRPr="00F05C0E">
        <w:rPr>
          <w:rFonts w:ascii="Calibri" w:hAnsi="Calibri" w:cs="Calibri"/>
        </w:rPr>
        <w:t xml:space="preserve">El cost posterior de manteniment periòdic de la franja de protecció perimetral i parcel·les </w:t>
      </w:r>
      <w:r w:rsidR="00CD2050">
        <w:rPr>
          <w:rFonts w:ascii="Calibri" w:hAnsi="Calibri" w:cs="Calibri"/>
        </w:rPr>
        <w:t>interiors</w:t>
      </w:r>
      <w:r w:rsidRPr="00F05C0E">
        <w:rPr>
          <w:rFonts w:ascii="Calibri" w:hAnsi="Calibri" w:cs="Calibri"/>
        </w:rPr>
        <w:t>.</w:t>
      </w:r>
    </w:p>
    <w:p w:rsidR="00E92447" w:rsidRDefault="00E92447" w:rsidP="00230F07">
      <w:pPr>
        <w:jc w:val="center"/>
        <w:rPr>
          <w:rFonts w:ascii="Calibri" w:hAnsi="Calibri" w:cs="Calibri"/>
        </w:rPr>
      </w:pPr>
    </w:p>
    <w:p w:rsidR="00E92447" w:rsidRPr="00F05C0E" w:rsidRDefault="00E92447" w:rsidP="00CE2B12">
      <w:pPr>
        <w:jc w:val="both"/>
        <w:rPr>
          <w:rFonts w:ascii="Calibri" w:hAnsi="Calibri" w:cs="Calibri"/>
        </w:rPr>
      </w:pPr>
      <w:r w:rsidRPr="00F05C0E">
        <w:rPr>
          <w:rFonts w:ascii="Calibri" w:hAnsi="Calibri" w:cs="Calibri"/>
        </w:rPr>
        <w:t>La prestació del servei exigeix disposar dels recursos econòmics necessaris. El tipus de recurs adient a cada cas concret haurà de ser determinat per cada ajuntament i per a cada urbanització</w:t>
      </w:r>
      <w:r w:rsidR="001707B9">
        <w:rPr>
          <w:rFonts w:ascii="Calibri" w:hAnsi="Calibri" w:cs="Calibri"/>
        </w:rPr>
        <w:t xml:space="preserve"> i nucli de població</w:t>
      </w:r>
      <w:r w:rsidRPr="00F05C0E">
        <w:rPr>
          <w:rFonts w:ascii="Calibri" w:hAnsi="Calibri" w:cs="Calibri"/>
        </w:rPr>
        <w:t>, edificació o instal·lació, en funció de les circumstàncies que hi concorrin. A continuació, s’estudia cadascuna de les possibles figures d’ingrés, des d’un criteri jurídico-pràctic.</w:t>
      </w:r>
    </w:p>
    <w:p w:rsidR="00E92447" w:rsidRPr="00F05C0E" w:rsidRDefault="00E92447" w:rsidP="00CE2B12">
      <w:pPr>
        <w:numPr>
          <w:ilvl w:val="2"/>
          <w:numId w:val="5"/>
        </w:numPr>
        <w:spacing w:before="240"/>
        <w:jc w:val="both"/>
        <w:rPr>
          <w:rFonts w:ascii="Calibri" w:hAnsi="Calibri" w:cs="Calibri"/>
        </w:rPr>
      </w:pPr>
      <w:r w:rsidRPr="00CD2050">
        <w:rPr>
          <w:rFonts w:ascii="Calibri" w:hAnsi="Calibri" w:cs="Calibri"/>
          <w:b/>
          <w:i/>
          <w:iCs/>
        </w:rPr>
        <w:t>Preus públics</w:t>
      </w:r>
      <w:r w:rsidRPr="00CD2050">
        <w:rPr>
          <w:rFonts w:ascii="Calibri" w:hAnsi="Calibri" w:cs="Calibri"/>
          <w:b/>
        </w:rPr>
        <w:t>:</w:t>
      </w:r>
      <w:r w:rsidRPr="00F05C0E">
        <w:rPr>
          <w:rFonts w:ascii="Calibri" w:hAnsi="Calibri" w:cs="Calibri"/>
        </w:rPr>
        <w:t xml:space="preserve"> Són contraprestacions pecuniàries que es satisfan per a la prestació de serveis o la realització d’activitats efectuades en règim de Dret Públic, que prestant-se també pel sector privat, siguin de sol·licitud voluntària, per part dels administrats. Es troben regulats a l’article 24 de la Llei 8/1989, de Taxes i Preus Públics, i a l’article 41 de la Llei 39/1988 reguladora de les Hisendes Locals.</w:t>
      </w:r>
    </w:p>
    <w:p w:rsidR="00E92447" w:rsidRDefault="00E92447" w:rsidP="00CE2B12">
      <w:pPr>
        <w:jc w:val="both"/>
        <w:rPr>
          <w:rFonts w:ascii="Calibri" w:hAnsi="Calibri" w:cs="Calibri"/>
        </w:rPr>
      </w:pPr>
    </w:p>
    <w:p w:rsidR="00E92447" w:rsidRDefault="00E92447" w:rsidP="00CE2B12">
      <w:pPr>
        <w:ind w:left="360"/>
        <w:jc w:val="both"/>
        <w:rPr>
          <w:rFonts w:ascii="Calibri" w:hAnsi="Calibri" w:cs="Calibri"/>
        </w:rPr>
      </w:pPr>
      <w:r w:rsidRPr="00F05C0E">
        <w:rPr>
          <w:rFonts w:ascii="Calibri" w:hAnsi="Calibri" w:cs="Calibri"/>
        </w:rPr>
        <w:t>Encara que aquesta figura és expressament esmentada en la Llei 5/2003, la seva aplicació efectiva suposa que el servei no és recepció obligatòria, sinó voluntària o, el que és més o menys el mateix, que ha de precedir la petició dels interessats en rebre la prestació. Aquesta circumstància porta a pensar que no tindrà gaire aplicació en la pràctica.</w:t>
      </w:r>
    </w:p>
    <w:p w:rsidR="00D835A7" w:rsidRDefault="00D835A7" w:rsidP="00D835A7">
      <w:pPr>
        <w:spacing w:before="100" w:beforeAutospacing="1" w:after="100" w:afterAutospacing="1"/>
        <w:ind w:left="360"/>
        <w:jc w:val="both"/>
        <w:rPr>
          <w:rFonts w:ascii="Calibri" w:hAnsi="Calibri" w:cs="Calibri"/>
        </w:rPr>
      </w:pPr>
      <w:r w:rsidRPr="00D835A7">
        <w:rPr>
          <w:rFonts w:ascii="Calibri" w:hAnsi="Calibri" w:cs="Calibri"/>
        </w:rPr>
        <w:t>La Diputació de Barcelona té aprova</w:t>
      </w:r>
      <w:r w:rsidR="003755BE">
        <w:rPr>
          <w:rFonts w:ascii="Calibri" w:hAnsi="Calibri" w:cs="Calibri"/>
        </w:rPr>
        <w:t>t</w:t>
      </w:r>
      <w:r w:rsidRPr="00D835A7">
        <w:rPr>
          <w:rFonts w:ascii="Calibri" w:hAnsi="Calibri" w:cs="Calibri"/>
        </w:rPr>
        <w:t xml:space="preserve"> </w:t>
      </w:r>
      <w:r w:rsidR="003755BE">
        <w:rPr>
          <w:rFonts w:ascii="Calibri" w:hAnsi="Calibri" w:cs="Calibri"/>
        </w:rPr>
        <w:t>un model d’o</w:t>
      </w:r>
      <w:r w:rsidRPr="00D835A7">
        <w:rPr>
          <w:rFonts w:ascii="Calibri" w:hAnsi="Calibri" w:cs="Calibri"/>
        </w:rPr>
        <w:t xml:space="preserve">rdenança fiscal </w:t>
      </w:r>
      <w:r>
        <w:rPr>
          <w:rFonts w:ascii="Calibri" w:hAnsi="Calibri" w:cs="Calibri"/>
        </w:rPr>
        <w:t xml:space="preserve">de </w:t>
      </w:r>
      <w:r w:rsidRPr="00D835A7">
        <w:rPr>
          <w:rFonts w:ascii="Calibri" w:hAnsi="Calibri" w:cs="Calibri"/>
        </w:rPr>
        <w:t>Preu públic per la prestació dels serveis de manteniment d’una franja exterior de protocol al voltant de les urbanitzacions, nuclis de població, edificacions i instal·lacions situades en terrenys forestals, de manteniment de les parcel·les i zones verdes lliures de vegetació seca i massa arbòria aclarida, en les mateixes urbanitzacions,</w:t>
      </w:r>
      <w:r>
        <w:rPr>
          <w:rFonts w:ascii="Calibri" w:hAnsi="Calibri" w:cs="Calibri"/>
        </w:rPr>
        <w:t xml:space="preserve"> </w:t>
      </w:r>
      <w:r w:rsidRPr="00D835A7">
        <w:rPr>
          <w:rFonts w:ascii="Calibri" w:hAnsi="Calibri" w:cs="Calibri"/>
        </w:rPr>
        <w:t xml:space="preserve">i la memòria econòmic-financera per a l’establiment del preu públic per a la prestació del servei municipal de prevenció d’incendis forestals consistent en el manteniment de les zones de la franja perimetral, les parcel·les i les zones verdes de les urbanitzacions i nuclis de població. </w:t>
      </w:r>
    </w:p>
    <w:p w:rsidR="00D835A7" w:rsidRPr="003755BE" w:rsidRDefault="00D835A7" w:rsidP="00D835A7">
      <w:pPr>
        <w:spacing w:before="100" w:beforeAutospacing="1" w:after="100" w:afterAutospacing="1"/>
        <w:ind w:left="360"/>
        <w:jc w:val="both"/>
        <w:rPr>
          <w:rFonts w:ascii="Calibri" w:hAnsi="Calibri" w:cs="Calibri"/>
        </w:rPr>
      </w:pPr>
      <w:r w:rsidRPr="003755BE">
        <w:rPr>
          <w:rFonts w:ascii="Calibri" w:hAnsi="Calibri" w:cs="Calibri"/>
        </w:rPr>
        <w:t>Per a la seva aplicació els ajuntaments poden delegar la gestió d’aquest Preu públic a l’Organisme de Gestió Tributària</w:t>
      </w:r>
      <w:r w:rsidR="003755BE" w:rsidRPr="003755BE">
        <w:rPr>
          <w:rFonts w:ascii="Calibri" w:hAnsi="Calibri" w:cs="Calibri"/>
        </w:rPr>
        <w:t xml:space="preserve"> de la Diputació de Barcelona</w:t>
      </w:r>
      <w:r w:rsidRPr="003755BE">
        <w:rPr>
          <w:rFonts w:ascii="Calibri" w:hAnsi="Calibri" w:cs="Calibri"/>
        </w:rPr>
        <w:t>.</w:t>
      </w:r>
    </w:p>
    <w:p w:rsidR="00E92447" w:rsidRPr="00F05C0E" w:rsidRDefault="00E92447" w:rsidP="00CE2B12">
      <w:pPr>
        <w:numPr>
          <w:ilvl w:val="2"/>
          <w:numId w:val="5"/>
        </w:numPr>
        <w:spacing w:before="240"/>
        <w:jc w:val="both"/>
        <w:rPr>
          <w:rFonts w:ascii="Calibri" w:hAnsi="Calibri" w:cs="Calibri"/>
        </w:rPr>
      </w:pPr>
      <w:r w:rsidRPr="00CD2050">
        <w:rPr>
          <w:rFonts w:ascii="Calibri" w:hAnsi="Calibri" w:cs="Calibri"/>
          <w:b/>
          <w:i/>
          <w:iCs/>
        </w:rPr>
        <w:lastRenderedPageBreak/>
        <w:t>Rescabalament de despeses d’execució subsidiària:</w:t>
      </w:r>
      <w:r w:rsidRPr="00F05C0E">
        <w:rPr>
          <w:rFonts w:ascii="Calibri" w:hAnsi="Calibri" w:cs="Calibri"/>
          <w:i/>
          <w:iCs/>
        </w:rPr>
        <w:t xml:space="preserve"> </w:t>
      </w:r>
      <w:r w:rsidRPr="00F05C0E">
        <w:rPr>
          <w:rFonts w:ascii="Calibri" w:hAnsi="Calibri" w:cs="Calibri"/>
        </w:rPr>
        <w:t xml:space="preserve">L’execució subsidiària, com a forma d’execució forçosa, pot ser utilitzada un cop constatat l’incompliment de l’obligat i amb advertiment previ de la seva aplicació. Permet el rescabalament total de la despesa que hagi ocasionat a l’Ajuntament, però obliga a la tramitació d’un expedient individual per a cada subjecte obligat. Si existeix constituïda una entitat urbanística, el procediment és idoni. En cas contrari, l’execució subsidiària continua essent aplicable però és laboriosa per tal com obliga a la tramitació d’un expedient individual per a cada propietari. </w:t>
      </w:r>
    </w:p>
    <w:p w:rsidR="00CD2050" w:rsidRDefault="00E92447" w:rsidP="0026168B">
      <w:pPr>
        <w:numPr>
          <w:ilvl w:val="2"/>
          <w:numId w:val="5"/>
        </w:numPr>
        <w:spacing w:before="240"/>
        <w:ind w:left="357" w:hanging="357"/>
        <w:jc w:val="both"/>
        <w:rPr>
          <w:rFonts w:ascii="Calibri" w:hAnsi="Calibri" w:cs="Calibri"/>
        </w:rPr>
      </w:pPr>
      <w:r w:rsidRPr="00CD2050">
        <w:rPr>
          <w:rFonts w:ascii="Calibri" w:hAnsi="Calibri" w:cs="Calibri"/>
          <w:b/>
          <w:i/>
        </w:rPr>
        <w:t>Subvencions:</w:t>
      </w:r>
      <w:r w:rsidRPr="00F05C0E">
        <w:rPr>
          <w:rFonts w:ascii="Calibri" w:hAnsi="Calibri" w:cs="Calibri"/>
        </w:rPr>
        <w:t xml:space="preserve"> </w:t>
      </w:r>
      <w:r w:rsidR="00CD2050">
        <w:rPr>
          <w:rFonts w:ascii="Calibri" w:hAnsi="Calibri" w:cs="Calibri"/>
        </w:rPr>
        <w:t>L’Ajuntament pot sol·licitar diferents tipus d’ajuts a altres administracions. Entre aquests ajuts destaquen:</w:t>
      </w:r>
    </w:p>
    <w:p w:rsidR="00CD2050" w:rsidRDefault="00CD2050" w:rsidP="00CD2050">
      <w:pPr>
        <w:spacing w:before="60"/>
        <w:ind w:left="357"/>
        <w:jc w:val="both"/>
        <w:rPr>
          <w:rFonts w:ascii="Calibri" w:hAnsi="Calibri" w:cs="Calibri"/>
        </w:rPr>
      </w:pPr>
      <w:r w:rsidRPr="00CD2050">
        <w:rPr>
          <w:rFonts w:ascii="Calibri" w:hAnsi="Calibri" w:cs="Calibri"/>
          <w:u w:val="single"/>
        </w:rPr>
        <w:t>Ajuts de la Generalitat de Catalunya:</w:t>
      </w:r>
      <w:r>
        <w:rPr>
          <w:rFonts w:ascii="Calibri" w:hAnsi="Calibri" w:cs="Calibri"/>
        </w:rPr>
        <w:t xml:space="preserve"> </w:t>
      </w:r>
      <w:r w:rsidR="00E92447" w:rsidRPr="00F05C0E">
        <w:rPr>
          <w:rFonts w:ascii="Calibri" w:hAnsi="Calibri" w:cs="Calibri"/>
        </w:rPr>
        <w:t>L’article 7.3 de la Llei 5/2003 cita els ajuts de la Generalitat de Catalunya com a possibles ingressos per a la seva aplicació.</w:t>
      </w:r>
    </w:p>
    <w:p w:rsidR="00CD2050" w:rsidRPr="00CD2050" w:rsidRDefault="00CD2050" w:rsidP="00CD2050">
      <w:pPr>
        <w:spacing w:before="60"/>
        <w:ind w:left="357"/>
        <w:jc w:val="both"/>
        <w:rPr>
          <w:rFonts w:ascii="Calibri" w:hAnsi="Calibri" w:cs="Calibri"/>
        </w:rPr>
      </w:pPr>
      <w:r w:rsidRPr="00CD2050">
        <w:rPr>
          <w:rFonts w:ascii="Calibri" w:hAnsi="Calibri" w:cs="Calibri"/>
          <w:u w:val="single"/>
        </w:rPr>
        <w:t>Ajuts de la Diputació de Barcelona:</w:t>
      </w:r>
      <w:r>
        <w:rPr>
          <w:rFonts w:ascii="Calibri" w:hAnsi="Calibri" w:cs="Calibri"/>
        </w:rPr>
        <w:t xml:space="preserve"> A través del Pla “Xarxa de Governs Locals”.</w:t>
      </w:r>
    </w:p>
    <w:p w:rsidR="00E92447" w:rsidRPr="00D306CE" w:rsidRDefault="00E92447" w:rsidP="00D306CE">
      <w:pPr>
        <w:jc w:val="both"/>
        <w:rPr>
          <w:rFonts w:ascii="Calibri" w:hAnsi="Calibri" w:cs="Calibri"/>
        </w:rPr>
      </w:pPr>
    </w:p>
    <w:p w:rsidR="00E92447" w:rsidRPr="00F05C0E" w:rsidRDefault="00E92447" w:rsidP="00CE2B12">
      <w:pPr>
        <w:numPr>
          <w:ilvl w:val="0"/>
          <w:numId w:val="4"/>
        </w:numPr>
        <w:jc w:val="both"/>
        <w:rPr>
          <w:rFonts w:ascii="Calibri" w:hAnsi="Calibri" w:cs="Calibri"/>
        </w:rPr>
      </w:pPr>
      <w:r w:rsidRPr="00CD2050">
        <w:rPr>
          <w:rFonts w:ascii="Calibri" w:hAnsi="Calibri" w:cs="Calibri"/>
          <w:b/>
          <w:i/>
          <w:iCs/>
        </w:rPr>
        <w:t>Quotes d’urbanització</w:t>
      </w:r>
      <w:r w:rsidRPr="00CD2050">
        <w:rPr>
          <w:rFonts w:ascii="Calibri" w:hAnsi="Calibri" w:cs="Calibri"/>
          <w:b/>
        </w:rPr>
        <w:t>:</w:t>
      </w:r>
      <w:r w:rsidRPr="00F05C0E">
        <w:rPr>
          <w:rFonts w:ascii="Calibri" w:hAnsi="Calibri" w:cs="Calibri"/>
        </w:rPr>
        <w:t xml:space="preserve"> Figura d’ingrés públic per les despeses d’urbanització que són aplicables en la pràctica només en els casos d’urbanitzacions en projecte o en les quals existeixi un àmbit urbanístic delimitat i coincident amb els criteris de la Llei 5/2003, i que no hagi estat encara executat. Per la seva aplicació cal prèviament l’aprovació de la reparcel·lació. Es troben regulades a la Llei 2/2002, de 14 de març, d’urbanisme de Catalunya i al Reglament de Gestió Urbanística.</w:t>
      </w:r>
    </w:p>
    <w:p w:rsidR="00E92447" w:rsidRDefault="00E92447" w:rsidP="00CE2B12">
      <w:pPr>
        <w:jc w:val="both"/>
        <w:rPr>
          <w:rFonts w:ascii="Calibri" w:hAnsi="Calibri" w:cs="Calibri"/>
        </w:rPr>
      </w:pPr>
    </w:p>
    <w:p w:rsidR="00E92447" w:rsidRPr="00F05C0E" w:rsidRDefault="00E92447" w:rsidP="00CE2B12">
      <w:pPr>
        <w:ind w:left="360"/>
        <w:jc w:val="both"/>
        <w:rPr>
          <w:rFonts w:ascii="Calibri" w:hAnsi="Calibri" w:cs="Calibri"/>
        </w:rPr>
      </w:pPr>
      <w:r w:rsidRPr="00F05C0E">
        <w:rPr>
          <w:rFonts w:ascii="Calibri" w:hAnsi="Calibri" w:cs="Calibri"/>
        </w:rPr>
        <w:t>Com a figures d’ingrés que resulten inviables jurídicament als efectes de la llei 5/2003, s’estudien les taxes i les contribucions especials, raonant en cada cas la seva impossibilitat d’aplicació:</w:t>
      </w:r>
    </w:p>
    <w:p w:rsidR="00E92447" w:rsidRPr="00F05C0E" w:rsidRDefault="00E92447" w:rsidP="00CE2B12">
      <w:pPr>
        <w:numPr>
          <w:ilvl w:val="0"/>
          <w:numId w:val="4"/>
        </w:numPr>
        <w:spacing w:before="240"/>
        <w:jc w:val="both"/>
        <w:rPr>
          <w:rFonts w:ascii="Calibri" w:hAnsi="Calibri" w:cs="Calibri"/>
        </w:rPr>
      </w:pPr>
      <w:r w:rsidRPr="00CD2050">
        <w:rPr>
          <w:rFonts w:ascii="Calibri" w:hAnsi="Calibri" w:cs="Calibri"/>
          <w:b/>
          <w:i/>
          <w:iCs/>
        </w:rPr>
        <w:t>Taxes</w:t>
      </w:r>
      <w:r w:rsidRPr="00CD2050">
        <w:rPr>
          <w:rFonts w:ascii="Calibri" w:hAnsi="Calibri" w:cs="Calibri"/>
          <w:b/>
        </w:rPr>
        <w:t>:</w:t>
      </w:r>
      <w:r w:rsidRPr="00F05C0E">
        <w:rPr>
          <w:rFonts w:ascii="Calibri" w:hAnsi="Calibri" w:cs="Calibri"/>
        </w:rPr>
        <w:t xml:space="preserve"> Són tributs el fet imposable dels quals és la utilització privativa o aprofitament especial del domini públic, la prestació de serveis o la realització d’activitats en règim de Dret Públic, que es refereixin, afectin o beneficiïn de manera particular al subjecte passiu, sempre que els serveis o activitats no siguin de sol·licitud voluntària pels administrats (no és de sol·licitud voluntària quan vingui imposada per disposicions legals o reglamentàries). Es troben regulades a la Llei 8/1989, de Taxes i Preus Públics. La Llei d’Hisendes Locals (article 20.4 lletra k), preveu que els ens locals  podran establir taxes per a la prestació de serveis de prevenció i extinció d’incendis. L’aplicació d’una taxa per la prestació del servei té suport en principi en l’habilitació general que conté l’article 20.1 de la Llei d’Hisendes Locals (R.D. Legislatiu 2/2004, de 5 de març). No obstant, aquesta afirmació té importants obstacles que cal tenir en consideració:</w:t>
      </w:r>
    </w:p>
    <w:p w:rsidR="00E92447" w:rsidRPr="00F05C0E" w:rsidRDefault="00E92447" w:rsidP="00CE2B12">
      <w:pPr>
        <w:numPr>
          <w:ilvl w:val="0"/>
          <w:numId w:val="2"/>
        </w:numPr>
        <w:spacing w:before="240"/>
        <w:ind w:left="714" w:hanging="357"/>
        <w:jc w:val="both"/>
        <w:rPr>
          <w:rFonts w:ascii="Calibri" w:hAnsi="Calibri" w:cs="Calibri"/>
        </w:rPr>
      </w:pPr>
      <w:r w:rsidRPr="00F05C0E">
        <w:rPr>
          <w:rFonts w:ascii="Calibri" w:hAnsi="Calibri" w:cs="Calibri"/>
        </w:rPr>
        <w:t>Per a la imposició d’una taxa cal partir de l’existència d’un servei de competència local. La L</w:t>
      </w:r>
      <w:r w:rsidR="001707B9">
        <w:rPr>
          <w:rFonts w:ascii="Calibri" w:hAnsi="Calibri" w:cs="Calibri"/>
        </w:rPr>
        <w:t xml:space="preserve">lei </w:t>
      </w:r>
      <w:r w:rsidRPr="00F05C0E">
        <w:rPr>
          <w:rFonts w:ascii="Calibri" w:hAnsi="Calibri" w:cs="Calibri"/>
        </w:rPr>
        <w:t>5/2003, però, no configura la competència local com de titularitat d’un servei, sinó com activitat de “policia”, és a dir, l’encarrega vetllar per tal que els propietaris compleixen les seves obligacions. L’obligació de prestació té caràcter només subsidiari.</w:t>
      </w:r>
    </w:p>
    <w:p w:rsidR="00E92447" w:rsidRPr="00F05C0E" w:rsidRDefault="00E92447" w:rsidP="00CE2B12">
      <w:pPr>
        <w:numPr>
          <w:ilvl w:val="0"/>
          <w:numId w:val="2"/>
        </w:numPr>
        <w:spacing w:before="240"/>
        <w:ind w:left="714" w:hanging="357"/>
        <w:jc w:val="both"/>
        <w:rPr>
          <w:rFonts w:ascii="Calibri" w:hAnsi="Calibri" w:cs="Calibri"/>
        </w:rPr>
      </w:pPr>
      <w:r w:rsidRPr="00F05C0E">
        <w:rPr>
          <w:rFonts w:ascii="Calibri" w:hAnsi="Calibri" w:cs="Calibri"/>
        </w:rPr>
        <w:lastRenderedPageBreak/>
        <w:t>La L</w:t>
      </w:r>
      <w:r w:rsidR="001707B9">
        <w:rPr>
          <w:rFonts w:ascii="Calibri" w:hAnsi="Calibri" w:cs="Calibri"/>
        </w:rPr>
        <w:t xml:space="preserve">lei </w:t>
      </w:r>
      <w:r w:rsidRPr="00F05C0E">
        <w:rPr>
          <w:rFonts w:ascii="Calibri" w:hAnsi="Calibri" w:cs="Calibri"/>
        </w:rPr>
        <w:t>5/2003 esmenta expressament com a recursos disponibles per l’Ajuntament els preus públics i el rescabalament posterior a l’execució subsidiària (a més de les subvencions). Això pot entendre’s com a exclusió implícita de la taxa.</w:t>
      </w:r>
    </w:p>
    <w:p w:rsidR="00E92447" w:rsidRPr="00F05C0E" w:rsidRDefault="00E92447" w:rsidP="00CE2B12">
      <w:pPr>
        <w:numPr>
          <w:ilvl w:val="0"/>
          <w:numId w:val="2"/>
        </w:numPr>
        <w:spacing w:before="240"/>
        <w:ind w:left="714" w:hanging="357"/>
        <w:jc w:val="both"/>
        <w:rPr>
          <w:rFonts w:ascii="Calibri" w:hAnsi="Calibri" w:cs="Calibri"/>
        </w:rPr>
      </w:pPr>
      <w:r w:rsidRPr="00F05C0E">
        <w:rPr>
          <w:rFonts w:ascii="Calibri" w:hAnsi="Calibri" w:cs="Calibri"/>
        </w:rPr>
        <w:t>La imposició d’una taxa exigeix un benefici o afecció particular al subjecte passiu. En el cas que considerem sembla que predomina la utilitat general (prevenció d’un risc d’incendi que afecta tota la col·lectivitat), el que privaria de validesa a la taxa.</w:t>
      </w:r>
    </w:p>
    <w:p w:rsidR="00E92447" w:rsidRDefault="00E92447" w:rsidP="00CE2B12">
      <w:pPr>
        <w:numPr>
          <w:ilvl w:val="0"/>
          <w:numId w:val="2"/>
        </w:numPr>
        <w:spacing w:before="240"/>
        <w:ind w:left="714" w:hanging="357"/>
        <w:jc w:val="both"/>
        <w:rPr>
          <w:rFonts w:ascii="Calibri" w:hAnsi="Calibri" w:cs="Calibri"/>
        </w:rPr>
      </w:pPr>
      <w:r w:rsidRPr="00F05C0E">
        <w:rPr>
          <w:rFonts w:ascii="Calibri" w:hAnsi="Calibri" w:cs="Calibri"/>
        </w:rPr>
        <w:t>Finalment, encara que es tracti d’una consideració pràctica (però molt important) no pot menystenir-se que l’article 110 de la Llei de la Jurisdicció Contenciosa Administrativa preveu l’extensió dels efectes de les sentències en matèria tributària. Una sentència desfavorable, en un recurs interposat per un sol contribuent, pot obligar a retornar totes les quantitats percebudes (a tots els contribuents).</w:t>
      </w:r>
    </w:p>
    <w:p w:rsidR="003755BE" w:rsidRPr="003755BE" w:rsidRDefault="003755BE" w:rsidP="003755BE">
      <w:pPr>
        <w:spacing w:after="200" w:line="276" w:lineRule="auto"/>
        <w:ind w:left="426"/>
        <w:jc w:val="both"/>
        <w:rPr>
          <w:rFonts w:ascii="Calibri" w:eastAsia="Calibri" w:hAnsi="Calibri"/>
          <w:b/>
          <w:bCs/>
          <w:color w:val="0080C1"/>
          <w:sz w:val="10"/>
          <w:szCs w:val="10"/>
        </w:rPr>
      </w:pPr>
    </w:p>
    <w:p w:rsidR="003755BE" w:rsidRPr="003755BE" w:rsidRDefault="003755BE" w:rsidP="003755BE">
      <w:pPr>
        <w:spacing w:line="276" w:lineRule="auto"/>
        <w:ind w:left="709"/>
        <w:jc w:val="both"/>
        <w:rPr>
          <w:rFonts w:ascii="Calibri" w:eastAsia="Calibri" w:hAnsi="Calibri"/>
          <w:b/>
          <w:bCs/>
          <w:szCs w:val="28"/>
        </w:rPr>
      </w:pPr>
      <w:r w:rsidRPr="003755BE">
        <w:rPr>
          <w:rFonts w:ascii="Calibri" w:eastAsia="Calibri" w:hAnsi="Calibri"/>
          <w:b/>
          <w:bCs/>
          <w:szCs w:val="28"/>
        </w:rPr>
        <w:t>Modificacions de la Llei 5/2003</w:t>
      </w:r>
    </w:p>
    <w:p w:rsidR="003755BE" w:rsidRPr="00831E96" w:rsidRDefault="003755BE" w:rsidP="003755BE">
      <w:pPr>
        <w:autoSpaceDE w:val="0"/>
        <w:autoSpaceDN w:val="0"/>
        <w:adjustRightInd w:val="0"/>
        <w:ind w:left="709"/>
        <w:jc w:val="both"/>
        <w:rPr>
          <w:rFonts w:ascii="Calibri" w:eastAsia="Calibri" w:hAnsi="Calibri" w:cs="Verdana"/>
          <w:lang w:eastAsia="ca-ES"/>
        </w:rPr>
      </w:pPr>
      <w:r>
        <w:rPr>
          <w:rFonts w:ascii="Calibri" w:eastAsia="Calibri" w:hAnsi="Calibri" w:cs="Verdana"/>
          <w:lang w:eastAsia="ca-ES"/>
        </w:rPr>
        <w:t xml:space="preserve">La Llei 5/2003 també es va veure modificada per la </w:t>
      </w:r>
      <w:r w:rsidRPr="00831E96">
        <w:rPr>
          <w:rFonts w:ascii="Calibri" w:eastAsia="Calibri" w:hAnsi="Calibri" w:cs="Verdana"/>
          <w:lang w:eastAsia="ca-ES"/>
        </w:rPr>
        <w:t>L</w:t>
      </w:r>
      <w:r>
        <w:rPr>
          <w:rFonts w:ascii="Calibri" w:eastAsia="Calibri" w:hAnsi="Calibri" w:cs="Verdana"/>
          <w:lang w:eastAsia="ca-ES"/>
        </w:rPr>
        <w:t>lei</w:t>
      </w:r>
      <w:r w:rsidRPr="00831E96">
        <w:rPr>
          <w:rFonts w:ascii="Calibri" w:eastAsia="Calibri" w:hAnsi="Calibri" w:cs="Verdana"/>
          <w:lang w:eastAsia="ca-ES"/>
        </w:rPr>
        <w:t xml:space="preserve"> 5/2017, del 28 de març, de mesures fiscals, administratives, financeres i del sector públic i de creació i regulació dels impostos sobre grans establiments comercials, sobre estades en establiments turístics, sobre elements radiotòxics, sobre begudes ensucrades envasades i sobre emissions de diòxid de carboni.</w:t>
      </w:r>
    </w:p>
    <w:p w:rsidR="003755BE" w:rsidRPr="00F05C0E" w:rsidRDefault="003755BE" w:rsidP="003755BE">
      <w:pPr>
        <w:spacing w:before="240"/>
        <w:ind w:left="709"/>
        <w:jc w:val="both"/>
        <w:rPr>
          <w:rFonts w:ascii="Calibri" w:hAnsi="Calibri" w:cs="Calibri"/>
        </w:rPr>
      </w:pPr>
      <w:r>
        <w:rPr>
          <w:rFonts w:ascii="Calibri" w:hAnsi="Calibri" w:cs="Calibri"/>
        </w:rPr>
        <w:t>L’article 2014 de la Llei 5/2017 disposa:</w:t>
      </w:r>
    </w:p>
    <w:p w:rsidR="003755BE" w:rsidRPr="00174E48" w:rsidRDefault="003755BE" w:rsidP="003755BE">
      <w:pPr>
        <w:autoSpaceDE w:val="0"/>
        <w:autoSpaceDN w:val="0"/>
        <w:adjustRightInd w:val="0"/>
        <w:ind w:left="709"/>
        <w:jc w:val="both"/>
        <w:rPr>
          <w:rFonts w:ascii="Calibri" w:eastAsia="Calibri" w:hAnsi="Calibri" w:cs="Verdana"/>
          <w:lang w:eastAsia="ca-ES"/>
        </w:rPr>
      </w:pPr>
    </w:p>
    <w:p w:rsidR="003755BE" w:rsidRPr="00174E48" w:rsidRDefault="003755BE" w:rsidP="003755BE">
      <w:pPr>
        <w:autoSpaceDE w:val="0"/>
        <w:autoSpaceDN w:val="0"/>
        <w:adjustRightInd w:val="0"/>
        <w:ind w:left="709"/>
        <w:jc w:val="both"/>
        <w:rPr>
          <w:rFonts w:ascii="Calibri" w:eastAsia="Calibri" w:hAnsi="Calibri" w:cs="Verdana"/>
          <w:lang w:eastAsia="ca-ES"/>
        </w:rPr>
      </w:pPr>
      <w:r w:rsidRPr="00174E48">
        <w:rPr>
          <w:rFonts w:ascii="Calibri" w:eastAsia="Calibri" w:hAnsi="Calibri" w:cs="Verdana"/>
          <w:lang w:eastAsia="ca-ES"/>
        </w:rPr>
        <w:t>1. Es modifica l'apartat 4 de l'article 4 de la Llei 5/2003, del 22 d'abril, de mesures de prevenció dels incendis forestals en les urbanitzacions, els nuclis de població, les edificacions i les instal·lacions situats en terrenys forestals, que resta redactat de la manera següent:</w:t>
      </w:r>
    </w:p>
    <w:p w:rsidR="003755BE" w:rsidRPr="00174E48" w:rsidRDefault="003755BE" w:rsidP="003755BE">
      <w:pPr>
        <w:autoSpaceDE w:val="0"/>
        <w:autoSpaceDN w:val="0"/>
        <w:adjustRightInd w:val="0"/>
        <w:ind w:left="709"/>
        <w:jc w:val="both"/>
        <w:rPr>
          <w:rFonts w:ascii="Calibri" w:eastAsia="Calibri" w:hAnsi="Calibri" w:cs="Verdana"/>
          <w:sz w:val="10"/>
          <w:szCs w:val="10"/>
          <w:lang w:eastAsia="ca-ES"/>
        </w:rPr>
      </w:pPr>
    </w:p>
    <w:p w:rsidR="003755BE" w:rsidRPr="00174E48" w:rsidRDefault="003755BE" w:rsidP="003755BE">
      <w:pPr>
        <w:autoSpaceDE w:val="0"/>
        <w:autoSpaceDN w:val="0"/>
        <w:adjustRightInd w:val="0"/>
        <w:ind w:left="709"/>
        <w:jc w:val="both"/>
        <w:rPr>
          <w:rFonts w:ascii="Calibri" w:eastAsia="Calibri" w:hAnsi="Calibri" w:cs="Verdana"/>
          <w:lang w:eastAsia="ca-ES"/>
        </w:rPr>
      </w:pPr>
      <w:r w:rsidRPr="00174E48">
        <w:rPr>
          <w:rFonts w:ascii="Calibri" w:eastAsia="Calibri" w:hAnsi="Calibri" w:cs="Verdana"/>
          <w:lang w:eastAsia="ca-ES"/>
        </w:rPr>
        <w:t xml:space="preserve">«4. En relació amb els treballs de neteja a què fan referència les lletres </w:t>
      </w:r>
      <w:r w:rsidRPr="00174E48">
        <w:rPr>
          <w:rFonts w:ascii="Calibri" w:eastAsia="Calibri" w:hAnsi="Calibri" w:cs="Verdana"/>
          <w:i/>
          <w:iCs/>
          <w:lang w:eastAsia="ca-ES"/>
        </w:rPr>
        <w:t xml:space="preserve">a, b </w:t>
      </w:r>
      <w:r w:rsidRPr="00174E48">
        <w:rPr>
          <w:rFonts w:ascii="Calibri" w:eastAsia="Calibri" w:hAnsi="Calibri" w:cs="Verdana"/>
          <w:lang w:eastAsia="ca-ES"/>
        </w:rPr>
        <w:t xml:space="preserve">i </w:t>
      </w:r>
      <w:r w:rsidRPr="00174E48">
        <w:rPr>
          <w:rFonts w:ascii="Calibri" w:eastAsia="Calibri" w:hAnsi="Calibri" w:cs="Verdana"/>
          <w:i/>
          <w:iCs/>
          <w:lang w:eastAsia="ca-ES"/>
        </w:rPr>
        <w:t xml:space="preserve">e </w:t>
      </w:r>
      <w:r w:rsidRPr="00174E48">
        <w:rPr>
          <w:rFonts w:ascii="Calibri" w:eastAsia="Calibri" w:hAnsi="Calibri" w:cs="Verdana"/>
          <w:lang w:eastAsia="ca-ES"/>
        </w:rPr>
        <w:t>de l'article 3.1, si no els han fet els subjectes obligats, correspon al municipi de fer-los. El municipi pot establir la taxa per a la prestació d'aquests serveis d'acord amb la normativa reguladora de les hisendes locals. Així mateix, corresponen al municipi les tasques de neteja dels vials i els camins interns i d'accés a la urbanització, d'acord amb el que estableix la legislació de règim local.»</w:t>
      </w:r>
    </w:p>
    <w:p w:rsidR="003755BE" w:rsidRPr="00174E48" w:rsidRDefault="003755BE" w:rsidP="003755BE">
      <w:pPr>
        <w:autoSpaceDE w:val="0"/>
        <w:autoSpaceDN w:val="0"/>
        <w:adjustRightInd w:val="0"/>
        <w:ind w:left="709"/>
        <w:jc w:val="both"/>
        <w:rPr>
          <w:rFonts w:ascii="Calibri" w:eastAsia="Calibri" w:hAnsi="Calibri" w:cs="Verdana"/>
          <w:lang w:eastAsia="ca-ES"/>
        </w:rPr>
      </w:pPr>
    </w:p>
    <w:p w:rsidR="003755BE" w:rsidRPr="00174E48" w:rsidRDefault="003755BE" w:rsidP="003755BE">
      <w:pPr>
        <w:autoSpaceDE w:val="0"/>
        <w:autoSpaceDN w:val="0"/>
        <w:adjustRightInd w:val="0"/>
        <w:ind w:left="709"/>
        <w:jc w:val="both"/>
        <w:rPr>
          <w:rFonts w:ascii="Calibri" w:eastAsia="Calibri" w:hAnsi="Calibri" w:cs="Verdana"/>
          <w:lang w:eastAsia="ca-ES"/>
        </w:rPr>
      </w:pPr>
      <w:r w:rsidRPr="00174E48">
        <w:rPr>
          <w:rFonts w:ascii="Calibri" w:eastAsia="Calibri" w:hAnsi="Calibri" w:cs="Verdana"/>
          <w:lang w:eastAsia="ca-ES"/>
        </w:rPr>
        <w:t>2. Es modifica l'apartat 1 de l'article 7 de la Llei 5/2003, que resta redactat de la manera següent:</w:t>
      </w:r>
    </w:p>
    <w:p w:rsidR="003755BE" w:rsidRPr="00174E48" w:rsidRDefault="003755BE" w:rsidP="003755BE">
      <w:pPr>
        <w:autoSpaceDE w:val="0"/>
        <w:autoSpaceDN w:val="0"/>
        <w:adjustRightInd w:val="0"/>
        <w:ind w:left="709"/>
        <w:jc w:val="both"/>
        <w:rPr>
          <w:rFonts w:ascii="Calibri" w:eastAsia="Calibri" w:hAnsi="Calibri" w:cs="Verdana"/>
          <w:sz w:val="10"/>
          <w:szCs w:val="10"/>
          <w:lang w:eastAsia="ca-ES"/>
        </w:rPr>
      </w:pPr>
    </w:p>
    <w:p w:rsidR="003755BE" w:rsidRDefault="003755BE" w:rsidP="003755BE">
      <w:pPr>
        <w:autoSpaceDE w:val="0"/>
        <w:autoSpaceDN w:val="0"/>
        <w:adjustRightInd w:val="0"/>
        <w:ind w:left="709"/>
        <w:jc w:val="both"/>
        <w:rPr>
          <w:rFonts w:ascii="Calibri" w:eastAsia="Calibri" w:hAnsi="Calibri" w:cs="Verdana"/>
          <w:lang w:eastAsia="ca-ES"/>
        </w:rPr>
      </w:pPr>
      <w:r w:rsidRPr="00174E48">
        <w:rPr>
          <w:rFonts w:ascii="Calibri" w:eastAsia="Calibri" w:hAnsi="Calibri" w:cs="Verdana"/>
          <w:lang w:eastAsia="ca-ES"/>
        </w:rPr>
        <w:t xml:space="preserve">«1. Sens perjudici de la taxa a què fa referència l'article 4.4, els municipis poden establir preus públics per la prestació dels serveis determinats per les lletres </w:t>
      </w:r>
      <w:r w:rsidRPr="00174E48">
        <w:rPr>
          <w:rFonts w:ascii="Calibri" w:eastAsia="Calibri" w:hAnsi="Calibri" w:cs="Verdana"/>
          <w:i/>
          <w:iCs/>
          <w:lang w:eastAsia="ca-ES"/>
        </w:rPr>
        <w:t>a</w:t>
      </w:r>
      <w:r w:rsidRPr="00174E48">
        <w:rPr>
          <w:rFonts w:ascii="Calibri" w:eastAsia="Calibri" w:hAnsi="Calibri" w:cs="Verdana"/>
          <w:lang w:eastAsia="ca-ES"/>
        </w:rPr>
        <w:t xml:space="preserve">, </w:t>
      </w:r>
      <w:r w:rsidRPr="00174E48">
        <w:rPr>
          <w:rFonts w:ascii="Calibri" w:eastAsia="Calibri" w:hAnsi="Calibri" w:cs="Verdana"/>
          <w:i/>
          <w:iCs/>
          <w:lang w:eastAsia="ca-ES"/>
        </w:rPr>
        <w:t xml:space="preserve">b </w:t>
      </w:r>
      <w:r w:rsidRPr="00174E48">
        <w:rPr>
          <w:rFonts w:ascii="Calibri" w:eastAsia="Calibri" w:hAnsi="Calibri" w:cs="Verdana"/>
          <w:lang w:eastAsia="ca-ES"/>
        </w:rPr>
        <w:t xml:space="preserve">i </w:t>
      </w:r>
      <w:r w:rsidRPr="00174E48">
        <w:rPr>
          <w:rFonts w:ascii="Calibri" w:eastAsia="Calibri" w:hAnsi="Calibri" w:cs="Verdana"/>
          <w:i/>
          <w:iCs/>
          <w:lang w:eastAsia="ca-ES"/>
        </w:rPr>
        <w:t xml:space="preserve">e </w:t>
      </w:r>
      <w:r w:rsidRPr="00174E48">
        <w:rPr>
          <w:rFonts w:ascii="Calibri" w:eastAsia="Calibri" w:hAnsi="Calibri" w:cs="Verdana"/>
          <w:lang w:eastAsia="ca-ES"/>
        </w:rPr>
        <w:t>de l'article 3.1.»</w:t>
      </w:r>
    </w:p>
    <w:p w:rsidR="003755BE" w:rsidRDefault="003755BE" w:rsidP="003755BE">
      <w:pPr>
        <w:autoSpaceDE w:val="0"/>
        <w:autoSpaceDN w:val="0"/>
        <w:adjustRightInd w:val="0"/>
        <w:ind w:left="709"/>
        <w:jc w:val="both"/>
        <w:rPr>
          <w:rFonts w:ascii="Calibri" w:eastAsia="Calibri" w:hAnsi="Calibri" w:cs="Verdana"/>
          <w:lang w:eastAsia="ca-ES"/>
        </w:rPr>
      </w:pPr>
    </w:p>
    <w:p w:rsidR="003755BE" w:rsidRDefault="003755BE" w:rsidP="003755BE">
      <w:pPr>
        <w:autoSpaceDE w:val="0"/>
        <w:autoSpaceDN w:val="0"/>
        <w:adjustRightInd w:val="0"/>
        <w:ind w:left="709"/>
        <w:jc w:val="both"/>
        <w:rPr>
          <w:rFonts w:ascii="Calibri" w:eastAsia="Calibri" w:hAnsi="Calibri" w:cs="Verdana"/>
          <w:lang w:eastAsia="ca-ES"/>
        </w:rPr>
      </w:pPr>
    </w:p>
    <w:p w:rsidR="003755BE" w:rsidRPr="00174E48" w:rsidRDefault="003755BE" w:rsidP="003755BE">
      <w:pPr>
        <w:autoSpaceDE w:val="0"/>
        <w:autoSpaceDN w:val="0"/>
        <w:adjustRightInd w:val="0"/>
        <w:ind w:left="709"/>
        <w:jc w:val="both"/>
        <w:rPr>
          <w:rFonts w:ascii="Calibri" w:eastAsia="Calibri" w:hAnsi="Calibri" w:cs="Verdana"/>
          <w:lang w:eastAsia="ca-ES"/>
        </w:rPr>
      </w:pPr>
    </w:p>
    <w:p w:rsidR="00E92447" w:rsidRPr="00F05C0E" w:rsidRDefault="00E92447" w:rsidP="00CE2B12">
      <w:pPr>
        <w:numPr>
          <w:ilvl w:val="2"/>
          <w:numId w:val="5"/>
        </w:numPr>
        <w:spacing w:before="240"/>
        <w:jc w:val="both"/>
        <w:rPr>
          <w:rFonts w:ascii="Calibri" w:hAnsi="Calibri" w:cs="Calibri"/>
        </w:rPr>
      </w:pPr>
      <w:r w:rsidRPr="00CD2050">
        <w:rPr>
          <w:rFonts w:ascii="Calibri" w:hAnsi="Calibri" w:cs="Calibri"/>
          <w:b/>
          <w:i/>
          <w:iCs/>
        </w:rPr>
        <w:lastRenderedPageBreak/>
        <w:t>Contribucions especials:</w:t>
      </w:r>
      <w:r w:rsidRPr="00F05C0E">
        <w:rPr>
          <w:rFonts w:ascii="Calibri" w:hAnsi="Calibri" w:cs="Calibri"/>
          <w:i/>
          <w:iCs/>
        </w:rPr>
        <w:t xml:space="preserve"> </w:t>
      </w:r>
      <w:r w:rsidRPr="00F05C0E">
        <w:rPr>
          <w:rFonts w:ascii="Calibri" w:hAnsi="Calibri" w:cs="Calibri"/>
        </w:rPr>
        <w:t>Es consideren inadequades per l’aplicació de la L</w:t>
      </w:r>
      <w:r w:rsidR="001707B9">
        <w:rPr>
          <w:rFonts w:ascii="Calibri" w:hAnsi="Calibri" w:cs="Calibri"/>
        </w:rPr>
        <w:t xml:space="preserve">lei </w:t>
      </w:r>
      <w:r w:rsidRPr="00F05C0E">
        <w:rPr>
          <w:rFonts w:ascii="Calibri" w:hAnsi="Calibri" w:cs="Calibri"/>
        </w:rPr>
        <w:t>5/2003 per les següents raons:</w:t>
      </w:r>
    </w:p>
    <w:p w:rsidR="00E92447" w:rsidRPr="00F05C0E" w:rsidRDefault="00E92447" w:rsidP="00CE2B12">
      <w:pPr>
        <w:numPr>
          <w:ilvl w:val="0"/>
          <w:numId w:val="2"/>
        </w:numPr>
        <w:spacing w:before="240"/>
        <w:ind w:left="714" w:hanging="357"/>
        <w:jc w:val="both"/>
        <w:rPr>
          <w:rFonts w:ascii="Calibri" w:hAnsi="Calibri" w:cs="Calibri"/>
        </w:rPr>
      </w:pPr>
      <w:r w:rsidRPr="00F05C0E">
        <w:rPr>
          <w:rFonts w:ascii="Calibri" w:hAnsi="Calibri" w:cs="Calibri"/>
        </w:rPr>
        <w:t>Inexistència de benefici o increment de valor de les finques dels  subjectes passius.</w:t>
      </w:r>
    </w:p>
    <w:p w:rsidR="00E92447" w:rsidRDefault="00E92447" w:rsidP="00CE2B12">
      <w:pPr>
        <w:numPr>
          <w:ilvl w:val="0"/>
          <w:numId w:val="2"/>
        </w:numPr>
        <w:spacing w:before="240"/>
        <w:ind w:left="714" w:hanging="357"/>
        <w:jc w:val="both"/>
        <w:rPr>
          <w:rFonts w:ascii="Calibri" w:hAnsi="Calibri" w:cs="Calibri"/>
        </w:rPr>
      </w:pPr>
      <w:r w:rsidRPr="00F05C0E">
        <w:rPr>
          <w:rFonts w:ascii="Calibri" w:hAnsi="Calibri" w:cs="Calibri"/>
        </w:rPr>
        <w:t>Forta inseguretat jurídica de l’Ajuntament degut a l’alta taxa d’anul·lacions de les contribucions especials en els tribunals i al risc addicional de l’extensió de l’efecte de les sentències previst a l’article 110 de la Llei de la Jurisdicció.</w:t>
      </w:r>
    </w:p>
    <w:p w:rsidR="00CD2050" w:rsidRDefault="00CD2050" w:rsidP="00CD2050">
      <w:pPr>
        <w:spacing w:before="240"/>
        <w:ind w:left="714"/>
        <w:jc w:val="both"/>
        <w:rPr>
          <w:rFonts w:ascii="Calibri" w:hAnsi="Calibri" w:cs="Calibri"/>
        </w:rPr>
      </w:pPr>
    </w:p>
    <w:p w:rsidR="00E92447" w:rsidRDefault="00E92447" w:rsidP="00CE2B12">
      <w:pPr>
        <w:ind w:left="630" w:hanging="630"/>
        <w:jc w:val="both"/>
        <w:rPr>
          <w:rFonts w:ascii="Calibri" w:hAnsi="Calibri" w:cs="Calibri"/>
          <w:b/>
          <w:bCs/>
        </w:rPr>
      </w:pPr>
    </w:p>
    <w:p w:rsidR="001707B9" w:rsidRPr="0000715B" w:rsidRDefault="001707B9" w:rsidP="001707B9">
      <w:pPr>
        <w:spacing w:after="200" w:line="276" w:lineRule="auto"/>
        <w:ind w:left="1418" w:hanging="1418"/>
        <w:jc w:val="both"/>
        <w:rPr>
          <w:rFonts w:ascii="Calibri" w:eastAsia="Calibri" w:hAnsi="Calibri"/>
          <w:b/>
          <w:bCs/>
          <w:color w:val="0080C1"/>
          <w:sz w:val="28"/>
          <w:szCs w:val="28"/>
        </w:rPr>
      </w:pPr>
      <w:bookmarkStart w:id="0" w:name="_GoBack"/>
      <w:bookmarkEnd w:id="0"/>
      <w:r w:rsidRPr="0000715B">
        <w:rPr>
          <w:rFonts w:ascii="Calibri" w:eastAsia="Calibri" w:hAnsi="Calibri"/>
          <w:b/>
          <w:bCs/>
          <w:color w:val="0080C1"/>
          <w:sz w:val="28"/>
          <w:szCs w:val="28"/>
        </w:rPr>
        <w:t>4.</w:t>
      </w:r>
      <w:r>
        <w:rPr>
          <w:rFonts w:ascii="Calibri" w:eastAsia="Calibri" w:hAnsi="Calibri"/>
          <w:b/>
          <w:bCs/>
          <w:color w:val="0080C1"/>
          <w:sz w:val="28"/>
          <w:szCs w:val="28"/>
        </w:rPr>
        <w:t>2</w:t>
      </w:r>
      <w:r w:rsidRPr="0000715B">
        <w:rPr>
          <w:rFonts w:ascii="Calibri" w:eastAsia="Calibri" w:hAnsi="Calibri"/>
          <w:b/>
          <w:bCs/>
          <w:color w:val="0080C1"/>
          <w:sz w:val="28"/>
          <w:szCs w:val="28"/>
        </w:rPr>
        <w:t>.</w:t>
      </w:r>
      <w:r>
        <w:rPr>
          <w:rFonts w:ascii="Calibri" w:eastAsia="Calibri" w:hAnsi="Calibri"/>
          <w:b/>
          <w:bCs/>
          <w:color w:val="0080C1"/>
          <w:sz w:val="28"/>
          <w:szCs w:val="28"/>
        </w:rPr>
        <w:t>2</w:t>
      </w:r>
      <w:r w:rsidRPr="0000715B">
        <w:rPr>
          <w:rFonts w:ascii="Calibri" w:eastAsia="Calibri" w:hAnsi="Calibri"/>
          <w:b/>
          <w:bCs/>
          <w:color w:val="0080C1"/>
          <w:sz w:val="28"/>
          <w:szCs w:val="28"/>
        </w:rPr>
        <w:t xml:space="preserve">  </w:t>
      </w:r>
      <w:r>
        <w:rPr>
          <w:rFonts w:ascii="Calibri" w:eastAsia="Calibri" w:hAnsi="Calibri"/>
          <w:b/>
          <w:bCs/>
          <w:color w:val="0080C1"/>
          <w:sz w:val="28"/>
          <w:szCs w:val="28"/>
        </w:rPr>
        <w:t>Contractació de l’obra</w:t>
      </w:r>
    </w:p>
    <w:p w:rsidR="00E92447" w:rsidRDefault="00E92447" w:rsidP="001707B9">
      <w:pPr>
        <w:rPr>
          <w:rFonts w:ascii="Calibri" w:hAnsi="Calibri" w:cs="Calibri"/>
        </w:rPr>
      </w:pPr>
    </w:p>
    <w:p w:rsidR="00E92447" w:rsidRPr="00F05C0E" w:rsidRDefault="00E92447" w:rsidP="00CE2B12">
      <w:pPr>
        <w:jc w:val="both"/>
        <w:rPr>
          <w:rFonts w:ascii="Calibri" w:hAnsi="Calibri" w:cs="Calibri"/>
        </w:rPr>
      </w:pPr>
      <w:r w:rsidRPr="00F05C0E">
        <w:rPr>
          <w:rFonts w:ascii="Calibri" w:hAnsi="Calibri" w:cs="Calibri"/>
        </w:rPr>
        <w:t>Amb la tramitació dels procediments administratius descrits anteriorment, l’ajuntament disposa finalment de tots els permisos i de liquid</w:t>
      </w:r>
      <w:r w:rsidR="00422F87">
        <w:rPr>
          <w:rFonts w:ascii="Calibri" w:hAnsi="Calibri" w:cs="Calibri"/>
        </w:rPr>
        <w:t xml:space="preserve">itat </w:t>
      </w:r>
      <w:r w:rsidRPr="00F05C0E">
        <w:rPr>
          <w:rFonts w:ascii="Calibri" w:hAnsi="Calibri" w:cs="Calibri"/>
        </w:rPr>
        <w:t xml:space="preserve">suficient per a executar les obligacions que li són atribuïdes per llei de forma subsidiària. És el moment de poder incoar el darrer procediment, la contractació de l’obra. </w:t>
      </w:r>
    </w:p>
    <w:sectPr w:rsidR="00E92447" w:rsidRPr="00F05C0E" w:rsidSect="00CD2050">
      <w:headerReference w:type="default" r:id="rId9"/>
      <w:footerReference w:type="default" r:id="rId10"/>
      <w:pgSz w:w="11906" w:h="16838"/>
      <w:pgMar w:top="1701" w:right="1701" w:bottom="1418" w:left="1701" w:header="709" w:footer="55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87C" w:rsidRDefault="00A1787C" w:rsidP="00216076">
      <w:r>
        <w:separator/>
      </w:r>
    </w:p>
  </w:endnote>
  <w:endnote w:type="continuationSeparator" w:id="0">
    <w:p w:rsidR="00A1787C" w:rsidRDefault="00A1787C" w:rsidP="00216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F07" w:rsidRPr="00230F07" w:rsidRDefault="0061016E">
    <w:pPr>
      <w:pStyle w:val="Peu"/>
      <w:jc w:val="right"/>
      <w:rPr>
        <w:rFonts w:ascii="Calibri" w:hAnsi="Calibri"/>
        <w:sz w:val="22"/>
        <w:szCs w:val="22"/>
      </w:rPr>
    </w:pPr>
    <w:r>
      <w:rPr>
        <w:noProof/>
        <w:lang w:eastAsia="ca-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tge 2" o:spid="_x0000_s2049" type="#_x0000_t75" style="position:absolute;left:0;text-align:left;margin-left:-.75pt;margin-top:-6.55pt;width:96pt;height:30.55pt;z-index:2516582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v:imagedata r:id="rId1" o:title=""/>
          <w10:wrap type="square"/>
        </v:shape>
      </w:pict>
    </w:r>
    <w:r w:rsidR="00230F07" w:rsidRPr="00230F07">
      <w:rPr>
        <w:rFonts w:ascii="Calibri" w:hAnsi="Calibri"/>
        <w:sz w:val="22"/>
        <w:szCs w:val="22"/>
      </w:rPr>
      <w:fldChar w:fldCharType="begin"/>
    </w:r>
    <w:r w:rsidR="00230F07" w:rsidRPr="00230F07">
      <w:rPr>
        <w:rFonts w:ascii="Calibri" w:hAnsi="Calibri"/>
        <w:sz w:val="22"/>
        <w:szCs w:val="22"/>
      </w:rPr>
      <w:instrText>PAGE   \* MERGEFORMAT</w:instrText>
    </w:r>
    <w:r w:rsidR="00230F07" w:rsidRPr="00230F07">
      <w:rPr>
        <w:rFonts w:ascii="Calibri" w:hAnsi="Calibri"/>
        <w:sz w:val="22"/>
        <w:szCs w:val="22"/>
      </w:rPr>
      <w:fldChar w:fldCharType="separate"/>
    </w:r>
    <w:r>
      <w:rPr>
        <w:rFonts w:ascii="Calibri" w:hAnsi="Calibri"/>
        <w:noProof/>
        <w:sz w:val="22"/>
        <w:szCs w:val="22"/>
      </w:rPr>
      <w:t>4</w:t>
    </w:r>
    <w:r w:rsidR="00230F07" w:rsidRPr="00230F07">
      <w:rPr>
        <w:rFonts w:ascii="Calibri" w:hAnsi="Calibri"/>
        <w:sz w:val="22"/>
        <w:szCs w:val="22"/>
      </w:rPr>
      <w:fldChar w:fldCharType="end"/>
    </w:r>
  </w:p>
  <w:p w:rsidR="00216076" w:rsidRDefault="00216076">
    <w:pPr>
      <w:pStyle w:val="Peu"/>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87C" w:rsidRDefault="00A1787C" w:rsidP="00216076">
      <w:r>
        <w:separator/>
      </w:r>
    </w:p>
  </w:footnote>
  <w:footnote w:type="continuationSeparator" w:id="0">
    <w:p w:rsidR="00A1787C" w:rsidRDefault="00A1787C" w:rsidP="002160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076" w:rsidRPr="00A1787C" w:rsidRDefault="00216076" w:rsidP="00216076">
    <w:pPr>
      <w:autoSpaceDE w:val="0"/>
      <w:autoSpaceDN w:val="0"/>
      <w:jc w:val="both"/>
      <w:rPr>
        <w:rFonts w:ascii="Calibri" w:hAnsi="Calibri"/>
        <w:b/>
        <w:bCs/>
        <w:color w:val="0080C1"/>
        <w:sz w:val="16"/>
        <w:szCs w:val="16"/>
      </w:rPr>
    </w:pPr>
    <w:r w:rsidRPr="00A1787C">
      <w:rPr>
        <w:rFonts w:ascii="Calibri" w:hAnsi="Calibri"/>
        <w:b/>
        <w:bCs/>
        <w:color w:val="0080C1"/>
        <w:sz w:val="16"/>
        <w:szCs w:val="16"/>
      </w:rPr>
      <w:t>Pla de prevenció d'incendis forestals</w:t>
    </w:r>
  </w:p>
  <w:p w:rsidR="00216076" w:rsidRPr="00A1787C" w:rsidRDefault="00216076" w:rsidP="00216076">
    <w:pPr>
      <w:jc w:val="both"/>
      <w:rPr>
        <w:rFonts w:ascii="Calibri" w:hAnsi="Calibri"/>
      </w:rPr>
    </w:pPr>
    <w:r w:rsidRPr="00A1787C">
      <w:rPr>
        <w:rFonts w:ascii="Calibri" w:hAnsi="Calibri"/>
        <w:b/>
        <w:bCs/>
        <w:color w:val="0080C1"/>
        <w:sz w:val="16"/>
        <w:szCs w:val="16"/>
      </w:rPr>
      <w:t>a les urbanitzacions i nuclis de població</w:t>
    </w:r>
  </w:p>
  <w:p w:rsidR="00216076" w:rsidRDefault="00216076">
    <w:pPr>
      <w:pStyle w:val="Capaler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E6841"/>
    <w:multiLevelType w:val="hybridMultilevel"/>
    <w:tmpl w:val="AB36D722"/>
    <w:lvl w:ilvl="0" w:tplc="46E89EDE">
      <w:start w:val="1"/>
      <w:numFmt w:val="bullet"/>
      <w:lvlText w:val="-"/>
      <w:lvlJc w:val="left"/>
      <w:pPr>
        <w:tabs>
          <w:tab w:val="num" w:pos="360"/>
        </w:tabs>
        <w:ind w:left="360" w:hanging="360"/>
      </w:pPr>
      <w:rPr>
        <w:rFonts w:ascii="Century Gothic" w:hAnsi="Century Gothic" w:hint="default"/>
        <w:color w:val="auto"/>
      </w:rPr>
    </w:lvl>
    <w:lvl w:ilvl="1" w:tplc="0C0A0003" w:tentative="1">
      <w:start w:val="1"/>
      <w:numFmt w:val="bullet"/>
      <w:lvlText w:val="o"/>
      <w:lvlJc w:val="left"/>
      <w:pPr>
        <w:tabs>
          <w:tab w:val="num" w:pos="720"/>
        </w:tabs>
        <w:ind w:left="720" w:hanging="360"/>
      </w:pPr>
      <w:rPr>
        <w:rFonts w:ascii="Courier New" w:hAnsi="Courier New" w:hint="default"/>
      </w:rPr>
    </w:lvl>
    <w:lvl w:ilvl="2" w:tplc="0C0A0005" w:tentative="1">
      <w:start w:val="1"/>
      <w:numFmt w:val="bullet"/>
      <w:lvlText w:val=""/>
      <w:lvlJc w:val="left"/>
      <w:pPr>
        <w:tabs>
          <w:tab w:val="num" w:pos="1440"/>
        </w:tabs>
        <w:ind w:left="1440" w:hanging="360"/>
      </w:pPr>
      <w:rPr>
        <w:rFonts w:ascii="Wingdings" w:hAnsi="Wingdings" w:cs="Wingdings" w:hint="default"/>
      </w:rPr>
    </w:lvl>
    <w:lvl w:ilvl="3" w:tplc="0C0A0001" w:tentative="1">
      <w:start w:val="1"/>
      <w:numFmt w:val="bullet"/>
      <w:lvlText w:val=""/>
      <w:lvlJc w:val="left"/>
      <w:pPr>
        <w:tabs>
          <w:tab w:val="num" w:pos="2160"/>
        </w:tabs>
        <w:ind w:left="2160" w:hanging="360"/>
      </w:pPr>
      <w:rPr>
        <w:rFonts w:ascii="Symbol" w:hAnsi="Symbol" w:cs="Symbol" w:hint="default"/>
      </w:rPr>
    </w:lvl>
    <w:lvl w:ilvl="4" w:tplc="0C0A0003" w:tentative="1">
      <w:start w:val="1"/>
      <w:numFmt w:val="bullet"/>
      <w:lvlText w:val="o"/>
      <w:lvlJc w:val="left"/>
      <w:pPr>
        <w:tabs>
          <w:tab w:val="num" w:pos="2880"/>
        </w:tabs>
        <w:ind w:left="2880" w:hanging="360"/>
      </w:pPr>
      <w:rPr>
        <w:rFonts w:ascii="Courier New" w:hAnsi="Courier New" w:cs="Courier New" w:hint="default"/>
      </w:rPr>
    </w:lvl>
    <w:lvl w:ilvl="5" w:tplc="0C0A0005" w:tentative="1">
      <w:start w:val="1"/>
      <w:numFmt w:val="bullet"/>
      <w:lvlText w:val=""/>
      <w:lvlJc w:val="left"/>
      <w:pPr>
        <w:tabs>
          <w:tab w:val="num" w:pos="3600"/>
        </w:tabs>
        <w:ind w:left="3600" w:hanging="360"/>
      </w:pPr>
      <w:rPr>
        <w:rFonts w:ascii="Wingdings" w:hAnsi="Wingdings" w:cs="Wingdings" w:hint="default"/>
      </w:rPr>
    </w:lvl>
    <w:lvl w:ilvl="6" w:tplc="0C0A0001" w:tentative="1">
      <w:start w:val="1"/>
      <w:numFmt w:val="bullet"/>
      <w:lvlText w:val=""/>
      <w:lvlJc w:val="left"/>
      <w:pPr>
        <w:tabs>
          <w:tab w:val="num" w:pos="4320"/>
        </w:tabs>
        <w:ind w:left="4320" w:hanging="360"/>
      </w:pPr>
      <w:rPr>
        <w:rFonts w:ascii="Symbol" w:hAnsi="Symbol" w:cs="Symbol" w:hint="default"/>
      </w:rPr>
    </w:lvl>
    <w:lvl w:ilvl="7" w:tplc="0C0A0003" w:tentative="1">
      <w:start w:val="1"/>
      <w:numFmt w:val="bullet"/>
      <w:lvlText w:val="o"/>
      <w:lvlJc w:val="left"/>
      <w:pPr>
        <w:tabs>
          <w:tab w:val="num" w:pos="5040"/>
        </w:tabs>
        <w:ind w:left="5040" w:hanging="360"/>
      </w:pPr>
      <w:rPr>
        <w:rFonts w:ascii="Courier New" w:hAnsi="Courier New" w:cs="Courier New" w:hint="default"/>
      </w:rPr>
    </w:lvl>
    <w:lvl w:ilvl="8" w:tplc="0C0A0005" w:tentative="1">
      <w:start w:val="1"/>
      <w:numFmt w:val="bullet"/>
      <w:lvlText w:val=""/>
      <w:lvlJc w:val="left"/>
      <w:pPr>
        <w:tabs>
          <w:tab w:val="num" w:pos="5760"/>
        </w:tabs>
        <w:ind w:left="5760" w:hanging="360"/>
      </w:pPr>
      <w:rPr>
        <w:rFonts w:ascii="Wingdings" w:hAnsi="Wingdings" w:cs="Wingdings" w:hint="default"/>
      </w:rPr>
    </w:lvl>
  </w:abstractNum>
  <w:abstractNum w:abstractNumId="1">
    <w:nsid w:val="2A21739C"/>
    <w:multiLevelType w:val="multilevel"/>
    <w:tmpl w:val="DB526DE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nsid w:val="39D54F15"/>
    <w:multiLevelType w:val="hybridMultilevel"/>
    <w:tmpl w:val="95185BD8"/>
    <w:lvl w:ilvl="0" w:tplc="0C0A0001">
      <w:start w:val="1"/>
      <w:numFmt w:val="bullet"/>
      <w:lvlText w:val=""/>
      <w:lvlJc w:val="left"/>
      <w:pPr>
        <w:tabs>
          <w:tab w:val="num" w:pos="-351"/>
        </w:tabs>
        <w:ind w:left="-351" w:hanging="360"/>
      </w:pPr>
      <w:rPr>
        <w:rFonts w:ascii="Symbol" w:hAnsi="Symbol" w:cs="Symbol" w:hint="default"/>
      </w:rPr>
    </w:lvl>
    <w:lvl w:ilvl="1" w:tplc="46E89EDE">
      <w:start w:val="1"/>
      <w:numFmt w:val="bullet"/>
      <w:lvlText w:val="-"/>
      <w:lvlJc w:val="left"/>
      <w:pPr>
        <w:tabs>
          <w:tab w:val="num" w:pos="369"/>
        </w:tabs>
        <w:ind w:left="369" w:hanging="360"/>
      </w:pPr>
      <w:rPr>
        <w:rFonts w:ascii="Century Gothic" w:hAnsi="Century Gothic" w:cs="Century Gothic" w:hint="default"/>
        <w:color w:val="auto"/>
      </w:rPr>
    </w:lvl>
    <w:lvl w:ilvl="2" w:tplc="0C0A0005" w:tentative="1">
      <w:start w:val="1"/>
      <w:numFmt w:val="bullet"/>
      <w:lvlText w:val=""/>
      <w:lvlJc w:val="left"/>
      <w:pPr>
        <w:tabs>
          <w:tab w:val="num" w:pos="1089"/>
        </w:tabs>
        <w:ind w:left="1089" w:hanging="360"/>
      </w:pPr>
      <w:rPr>
        <w:rFonts w:ascii="Wingdings" w:hAnsi="Wingdings" w:cs="Wingdings" w:hint="default"/>
      </w:rPr>
    </w:lvl>
    <w:lvl w:ilvl="3" w:tplc="0C0A0001" w:tentative="1">
      <w:start w:val="1"/>
      <w:numFmt w:val="bullet"/>
      <w:lvlText w:val=""/>
      <w:lvlJc w:val="left"/>
      <w:pPr>
        <w:tabs>
          <w:tab w:val="num" w:pos="1809"/>
        </w:tabs>
        <w:ind w:left="1809" w:hanging="360"/>
      </w:pPr>
      <w:rPr>
        <w:rFonts w:ascii="Symbol" w:hAnsi="Symbol" w:cs="Symbol" w:hint="default"/>
      </w:rPr>
    </w:lvl>
    <w:lvl w:ilvl="4" w:tplc="0C0A0003" w:tentative="1">
      <w:start w:val="1"/>
      <w:numFmt w:val="bullet"/>
      <w:lvlText w:val="o"/>
      <w:lvlJc w:val="left"/>
      <w:pPr>
        <w:tabs>
          <w:tab w:val="num" w:pos="2529"/>
        </w:tabs>
        <w:ind w:left="2529" w:hanging="360"/>
      </w:pPr>
      <w:rPr>
        <w:rFonts w:ascii="Courier New" w:hAnsi="Courier New" w:cs="Courier New" w:hint="default"/>
      </w:rPr>
    </w:lvl>
    <w:lvl w:ilvl="5" w:tplc="0C0A0005" w:tentative="1">
      <w:start w:val="1"/>
      <w:numFmt w:val="bullet"/>
      <w:lvlText w:val=""/>
      <w:lvlJc w:val="left"/>
      <w:pPr>
        <w:tabs>
          <w:tab w:val="num" w:pos="3249"/>
        </w:tabs>
        <w:ind w:left="3249" w:hanging="360"/>
      </w:pPr>
      <w:rPr>
        <w:rFonts w:ascii="Wingdings" w:hAnsi="Wingdings" w:cs="Wingdings" w:hint="default"/>
      </w:rPr>
    </w:lvl>
    <w:lvl w:ilvl="6" w:tplc="0C0A0001" w:tentative="1">
      <w:start w:val="1"/>
      <w:numFmt w:val="bullet"/>
      <w:lvlText w:val=""/>
      <w:lvlJc w:val="left"/>
      <w:pPr>
        <w:tabs>
          <w:tab w:val="num" w:pos="3969"/>
        </w:tabs>
        <w:ind w:left="3969" w:hanging="360"/>
      </w:pPr>
      <w:rPr>
        <w:rFonts w:ascii="Symbol" w:hAnsi="Symbol" w:cs="Symbol" w:hint="default"/>
      </w:rPr>
    </w:lvl>
    <w:lvl w:ilvl="7" w:tplc="0C0A0003" w:tentative="1">
      <w:start w:val="1"/>
      <w:numFmt w:val="bullet"/>
      <w:lvlText w:val="o"/>
      <w:lvlJc w:val="left"/>
      <w:pPr>
        <w:tabs>
          <w:tab w:val="num" w:pos="4689"/>
        </w:tabs>
        <w:ind w:left="4689" w:hanging="360"/>
      </w:pPr>
      <w:rPr>
        <w:rFonts w:ascii="Courier New" w:hAnsi="Courier New" w:cs="Courier New" w:hint="default"/>
      </w:rPr>
    </w:lvl>
    <w:lvl w:ilvl="8" w:tplc="0C0A0005" w:tentative="1">
      <w:start w:val="1"/>
      <w:numFmt w:val="bullet"/>
      <w:lvlText w:val=""/>
      <w:lvlJc w:val="left"/>
      <w:pPr>
        <w:tabs>
          <w:tab w:val="num" w:pos="5409"/>
        </w:tabs>
        <w:ind w:left="5409" w:hanging="360"/>
      </w:pPr>
      <w:rPr>
        <w:rFonts w:ascii="Wingdings" w:hAnsi="Wingdings" w:cs="Wingdings" w:hint="default"/>
      </w:rPr>
    </w:lvl>
  </w:abstractNum>
  <w:abstractNum w:abstractNumId="3">
    <w:nsid w:val="53A8174F"/>
    <w:multiLevelType w:val="hybridMultilevel"/>
    <w:tmpl w:val="64AE03EE"/>
    <w:lvl w:ilvl="0" w:tplc="46E89EDE">
      <w:start w:val="1"/>
      <w:numFmt w:val="bullet"/>
      <w:lvlText w:val="-"/>
      <w:lvlJc w:val="left"/>
      <w:pPr>
        <w:tabs>
          <w:tab w:val="num" w:pos="360"/>
        </w:tabs>
        <w:ind w:left="360" w:hanging="360"/>
      </w:pPr>
      <w:rPr>
        <w:rFonts w:ascii="Century Gothic" w:hAnsi="Century Gothic" w:cs="Century Gothic" w:hint="default"/>
        <w:color w:val="auto"/>
      </w:rPr>
    </w:lvl>
    <w:lvl w:ilvl="1" w:tplc="0C0A000F">
      <w:start w:val="1"/>
      <w:numFmt w:val="decimal"/>
      <w:lvlText w:val="%2."/>
      <w:lvlJc w:val="left"/>
      <w:pPr>
        <w:tabs>
          <w:tab w:val="num" w:pos="1080"/>
        </w:tabs>
        <w:ind w:left="1080" w:hanging="360"/>
      </w:pPr>
      <w:rPr>
        <w:rFonts w:hint="default"/>
        <w:color w:val="auto"/>
      </w:rPr>
    </w:lvl>
    <w:lvl w:ilvl="2" w:tplc="0C0A0005" w:tentative="1">
      <w:start w:val="1"/>
      <w:numFmt w:val="bullet"/>
      <w:lvlText w:val=""/>
      <w:lvlJc w:val="left"/>
      <w:pPr>
        <w:tabs>
          <w:tab w:val="num" w:pos="1800"/>
        </w:tabs>
        <w:ind w:left="1800" w:hanging="360"/>
      </w:pPr>
      <w:rPr>
        <w:rFonts w:ascii="Wingdings" w:hAnsi="Wingdings" w:cs="Wingdings" w:hint="default"/>
      </w:rPr>
    </w:lvl>
    <w:lvl w:ilvl="3" w:tplc="0C0A0001" w:tentative="1">
      <w:start w:val="1"/>
      <w:numFmt w:val="bullet"/>
      <w:lvlText w:val=""/>
      <w:lvlJc w:val="left"/>
      <w:pPr>
        <w:tabs>
          <w:tab w:val="num" w:pos="2520"/>
        </w:tabs>
        <w:ind w:left="2520" w:hanging="360"/>
      </w:pPr>
      <w:rPr>
        <w:rFonts w:ascii="Symbol" w:hAnsi="Symbol" w:cs="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cs="Wingdings" w:hint="default"/>
      </w:rPr>
    </w:lvl>
    <w:lvl w:ilvl="6" w:tplc="0C0A0001" w:tentative="1">
      <w:start w:val="1"/>
      <w:numFmt w:val="bullet"/>
      <w:lvlText w:val=""/>
      <w:lvlJc w:val="left"/>
      <w:pPr>
        <w:tabs>
          <w:tab w:val="num" w:pos="4680"/>
        </w:tabs>
        <w:ind w:left="4680" w:hanging="360"/>
      </w:pPr>
      <w:rPr>
        <w:rFonts w:ascii="Symbol" w:hAnsi="Symbol" w:cs="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cs="Wingdings" w:hint="default"/>
      </w:rPr>
    </w:lvl>
  </w:abstractNum>
  <w:abstractNum w:abstractNumId="4">
    <w:nsid w:val="68CB78A8"/>
    <w:multiLevelType w:val="multilevel"/>
    <w:tmpl w:val="129656D0"/>
    <w:lvl w:ilvl="0">
      <w:start w:val="3"/>
      <w:numFmt w:val="decimal"/>
      <w:lvlText w:val="%1"/>
      <w:lvlJc w:val="left"/>
      <w:pPr>
        <w:tabs>
          <w:tab w:val="num" w:pos="705"/>
        </w:tabs>
        <w:ind w:left="705" w:hanging="705"/>
      </w:pPr>
      <w:rPr>
        <w:rFonts w:hint="default"/>
      </w:rPr>
    </w:lvl>
    <w:lvl w:ilvl="1">
      <w:start w:val="4"/>
      <w:numFmt w:val="decimal"/>
      <w:lvlText w:val="%1.%2"/>
      <w:lvlJc w:val="left"/>
      <w:pPr>
        <w:tabs>
          <w:tab w:val="num" w:pos="705"/>
        </w:tabs>
        <w:ind w:left="705" w:hanging="705"/>
      </w:pPr>
      <w:rPr>
        <w:rFonts w:hint="default"/>
      </w:rPr>
    </w:lvl>
    <w:lvl w:ilvl="2">
      <w:start w:val="1"/>
      <w:numFmt w:val="bullet"/>
      <w:lvlText w:val="-"/>
      <w:lvlJc w:val="left"/>
      <w:pPr>
        <w:tabs>
          <w:tab w:val="num" w:pos="360"/>
        </w:tabs>
        <w:ind w:left="360" w:hanging="360"/>
      </w:pPr>
      <w:rPr>
        <w:rFonts w:ascii="Century Gothic" w:hAnsi="Century Gothic" w:cs="Century Gothic"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hyphenationZone w:val="425"/>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E2B12"/>
    <w:rsid w:val="000E0C6F"/>
    <w:rsid w:val="00137548"/>
    <w:rsid w:val="001707B9"/>
    <w:rsid w:val="00216076"/>
    <w:rsid w:val="00230F07"/>
    <w:rsid w:val="0026168B"/>
    <w:rsid w:val="003113D9"/>
    <w:rsid w:val="003755BE"/>
    <w:rsid w:val="00422F87"/>
    <w:rsid w:val="0061016E"/>
    <w:rsid w:val="008039FD"/>
    <w:rsid w:val="00831E96"/>
    <w:rsid w:val="009752EA"/>
    <w:rsid w:val="00A15707"/>
    <w:rsid w:val="00A1787C"/>
    <w:rsid w:val="00B73F15"/>
    <w:rsid w:val="00CD2050"/>
    <w:rsid w:val="00CE2B12"/>
    <w:rsid w:val="00D206B2"/>
    <w:rsid w:val="00D306CE"/>
    <w:rsid w:val="00D70365"/>
    <w:rsid w:val="00D835A7"/>
    <w:rsid w:val="00DD3C18"/>
    <w:rsid w:val="00E2154B"/>
    <w:rsid w:val="00E92447"/>
    <w:rsid w:val="00F05C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a-ES" w:eastAsia="ca-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Body Text 3"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B12"/>
    <w:rPr>
      <w:rFonts w:ascii="Times New Roman" w:eastAsia="Times New Roman" w:hAnsi="Times New Roman"/>
      <w:sz w:val="24"/>
      <w:szCs w:val="24"/>
      <w:lang w:eastAsia="es-ES"/>
    </w:rPr>
  </w:style>
  <w:style w:type="paragraph" w:styleId="Ttol3">
    <w:name w:val="heading 3"/>
    <w:basedOn w:val="Normal"/>
    <w:link w:val="Ttol3Car"/>
    <w:uiPriority w:val="9"/>
    <w:qFormat/>
    <w:rsid w:val="00831E96"/>
    <w:pPr>
      <w:spacing w:before="100" w:beforeAutospacing="1" w:after="100" w:afterAutospacing="1"/>
      <w:outlineLvl w:val="2"/>
    </w:pPr>
    <w:rPr>
      <w:b/>
      <w:bCs/>
      <w:sz w:val="27"/>
      <w:szCs w:val="27"/>
      <w:lang w:eastAsia="ca-E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Car1CarCarCarCarCarCarCarCar">
    <w:name w:val="Car1 Car Car Car Car Car Car Car Car"/>
    <w:basedOn w:val="Normal"/>
    <w:uiPriority w:val="99"/>
    <w:rsid w:val="00CE2B12"/>
    <w:pPr>
      <w:spacing w:after="160" w:line="240" w:lineRule="exact"/>
    </w:pPr>
    <w:rPr>
      <w:rFonts w:ascii="Verdana" w:hAnsi="Verdana" w:cs="Verdana"/>
      <w:sz w:val="20"/>
      <w:szCs w:val="20"/>
      <w:lang w:val="en-US" w:eastAsia="en-US"/>
    </w:rPr>
  </w:style>
  <w:style w:type="paragraph" w:styleId="Textindependent3">
    <w:name w:val="Body Text 3"/>
    <w:basedOn w:val="Normal"/>
    <w:link w:val="Textindependent3Car"/>
    <w:uiPriority w:val="99"/>
    <w:semiHidden/>
    <w:rsid w:val="00CE2B12"/>
    <w:pPr>
      <w:spacing w:after="120"/>
    </w:pPr>
    <w:rPr>
      <w:sz w:val="16"/>
      <w:szCs w:val="16"/>
    </w:rPr>
  </w:style>
  <w:style w:type="character" w:customStyle="1" w:styleId="Textindependent3Car">
    <w:name w:val="Text independent 3 Car"/>
    <w:link w:val="Textindependent3"/>
    <w:uiPriority w:val="99"/>
    <w:semiHidden/>
    <w:rsid w:val="00CE2B12"/>
    <w:rPr>
      <w:rFonts w:ascii="Times New Roman" w:hAnsi="Times New Roman" w:cs="Times New Roman"/>
      <w:sz w:val="16"/>
      <w:szCs w:val="16"/>
      <w:lang w:eastAsia="es-ES"/>
    </w:rPr>
  </w:style>
  <w:style w:type="paragraph" w:styleId="Capalera">
    <w:name w:val="header"/>
    <w:basedOn w:val="Normal"/>
    <w:link w:val="CapaleraCar"/>
    <w:uiPriority w:val="99"/>
    <w:unhideWhenUsed/>
    <w:rsid w:val="00216076"/>
    <w:pPr>
      <w:tabs>
        <w:tab w:val="center" w:pos="4252"/>
        <w:tab w:val="right" w:pos="8504"/>
      </w:tabs>
    </w:pPr>
  </w:style>
  <w:style w:type="character" w:customStyle="1" w:styleId="CapaleraCar">
    <w:name w:val="Capçalera Car"/>
    <w:link w:val="Capalera"/>
    <w:uiPriority w:val="99"/>
    <w:rsid w:val="00216076"/>
    <w:rPr>
      <w:rFonts w:ascii="Times New Roman" w:eastAsia="Times New Roman" w:hAnsi="Times New Roman"/>
      <w:sz w:val="24"/>
      <w:szCs w:val="24"/>
      <w:lang w:val="ca-ES" w:eastAsia="es-ES"/>
    </w:rPr>
  </w:style>
  <w:style w:type="paragraph" w:styleId="Peu">
    <w:name w:val="footer"/>
    <w:basedOn w:val="Normal"/>
    <w:link w:val="PeuCar"/>
    <w:uiPriority w:val="99"/>
    <w:unhideWhenUsed/>
    <w:rsid w:val="00216076"/>
    <w:pPr>
      <w:tabs>
        <w:tab w:val="center" w:pos="4252"/>
        <w:tab w:val="right" w:pos="8504"/>
      </w:tabs>
    </w:pPr>
  </w:style>
  <w:style w:type="character" w:customStyle="1" w:styleId="PeuCar">
    <w:name w:val="Peu Car"/>
    <w:link w:val="Peu"/>
    <w:uiPriority w:val="99"/>
    <w:rsid w:val="00216076"/>
    <w:rPr>
      <w:rFonts w:ascii="Times New Roman" w:eastAsia="Times New Roman" w:hAnsi="Times New Roman"/>
      <w:sz w:val="24"/>
      <w:szCs w:val="24"/>
      <w:lang w:val="ca-ES" w:eastAsia="es-ES"/>
    </w:rPr>
  </w:style>
  <w:style w:type="paragraph" w:styleId="Senseespaiat">
    <w:name w:val="No Spacing"/>
    <w:link w:val="SenseespaiatCar"/>
    <w:uiPriority w:val="99"/>
    <w:qFormat/>
    <w:rsid w:val="00216076"/>
    <w:rPr>
      <w:rFonts w:eastAsia="Times New Roman" w:cs="Calibri"/>
      <w:sz w:val="22"/>
      <w:szCs w:val="22"/>
    </w:rPr>
  </w:style>
  <w:style w:type="character" w:customStyle="1" w:styleId="SenseespaiatCar">
    <w:name w:val="Sense espaiat Car"/>
    <w:link w:val="Senseespaiat"/>
    <w:uiPriority w:val="99"/>
    <w:rsid w:val="00216076"/>
    <w:rPr>
      <w:rFonts w:eastAsia="Times New Roman" w:cs="Calibri"/>
      <w:lang w:val="ca-ES" w:eastAsia="ca-ES"/>
    </w:rPr>
  </w:style>
  <w:style w:type="paragraph" w:styleId="Textdeglobus">
    <w:name w:val="Balloon Text"/>
    <w:basedOn w:val="Normal"/>
    <w:link w:val="TextdeglobusCar"/>
    <w:uiPriority w:val="99"/>
    <w:semiHidden/>
    <w:unhideWhenUsed/>
    <w:rsid w:val="00216076"/>
    <w:rPr>
      <w:rFonts w:ascii="Tahoma" w:hAnsi="Tahoma" w:cs="Tahoma"/>
      <w:sz w:val="16"/>
      <w:szCs w:val="16"/>
    </w:rPr>
  </w:style>
  <w:style w:type="character" w:customStyle="1" w:styleId="TextdeglobusCar">
    <w:name w:val="Text de globus Car"/>
    <w:link w:val="Textdeglobus"/>
    <w:uiPriority w:val="99"/>
    <w:semiHidden/>
    <w:rsid w:val="00216076"/>
    <w:rPr>
      <w:rFonts w:ascii="Tahoma" w:eastAsia="Times New Roman" w:hAnsi="Tahoma" w:cs="Tahoma"/>
      <w:sz w:val="16"/>
      <w:szCs w:val="16"/>
      <w:lang w:val="ca-ES" w:eastAsia="es-ES"/>
    </w:rPr>
  </w:style>
  <w:style w:type="character" w:styleId="Refernciadecomentari">
    <w:name w:val="annotation reference"/>
    <w:uiPriority w:val="99"/>
    <w:semiHidden/>
    <w:unhideWhenUsed/>
    <w:rsid w:val="001707B9"/>
    <w:rPr>
      <w:sz w:val="16"/>
      <w:szCs w:val="16"/>
    </w:rPr>
  </w:style>
  <w:style w:type="paragraph" w:styleId="Textdecomentari">
    <w:name w:val="annotation text"/>
    <w:basedOn w:val="Normal"/>
    <w:link w:val="TextdecomentariCar"/>
    <w:uiPriority w:val="99"/>
    <w:semiHidden/>
    <w:unhideWhenUsed/>
    <w:rsid w:val="001707B9"/>
    <w:rPr>
      <w:sz w:val="20"/>
      <w:szCs w:val="20"/>
    </w:rPr>
  </w:style>
  <w:style w:type="character" w:customStyle="1" w:styleId="TextdecomentariCar">
    <w:name w:val="Text de comentari Car"/>
    <w:link w:val="Textdecomentari"/>
    <w:uiPriority w:val="99"/>
    <w:semiHidden/>
    <w:rsid w:val="001707B9"/>
    <w:rPr>
      <w:rFonts w:ascii="Times New Roman" w:eastAsia="Times New Roman" w:hAnsi="Times New Roman"/>
      <w:sz w:val="20"/>
      <w:szCs w:val="20"/>
      <w:lang w:val="ca-ES" w:eastAsia="es-ES"/>
    </w:rPr>
  </w:style>
  <w:style w:type="paragraph" w:styleId="Temadelcomentari">
    <w:name w:val="annotation subject"/>
    <w:basedOn w:val="Textdecomentari"/>
    <w:next w:val="Textdecomentari"/>
    <w:link w:val="TemadelcomentariCar"/>
    <w:uiPriority w:val="99"/>
    <w:semiHidden/>
    <w:unhideWhenUsed/>
    <w:rsid w:val="001707B9"/>
    <w:rPr>
      <w:b/>
      <w:bCs/>
    </w:rPr>
  </w:style>
  <w:style w:type="character" w:customStyle="1" w:styleId="TemadelcomentariCar">
    <w:name w:val="Tema del comentari Car"/>
    <w:link w:val="Temadelcomentari"/>
    <w:uiPriority w:val="99"/>
    <w:semiHidden/>
    <w:rsid w:val="001707B9"/>
    <w:rPr>
      <w:rFonts w:ascii="Times New Roman" w:eastAsia="Times New Roman" w:hAnsi="Times New Roman"/>
      <w:b/>
      <w:bCs/>
      <w:sz w:val="20"/>
      <w:szCs w:val="20"/>
      <w:lang w:val="ca-ES" w:eastAsia="es-ES"/>
    </w:rPr>
  </w:style>
  <w:style w:type="character" w:customStyle="1" w:styleId="Ttol3Car">
    <w:name w:val="Títol 3 Car"/>
    <w:basedOn w:val="Tipusdelletraperdefectedelpargraf"/>
    <w:link w:val="Ttol3"/>
    <w:uiPriority w:val="9"/>
    <w:rsid w:val="00831E96"/>
    <w:rPr>
      <w:rFonts w:ascii="Times New Roman" w:eastAsia="Times New Roman" w:hAnsi="Times New Roman"/>
      <w:b/>
      <w:bCs/>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a-ES" w:eastAsia="ca-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731060">
      <w:bodyDiv w:val="1"/>
      <w:marLeft w:val="0"/>
      <w:marRight w:val="0"/>
      <w:marTop w:val="0"/>
      <w:marBottom w:val="0"/>
      <w:divBdr>
        <w:top w:val="none" w:sz="0" w:space="0" w:color="auto"/>
        <w:left w:val="none" w:sz="0" w:space="0" w:color="auto"/>
        <w:bottom w:val="none" w:sz="0" w:space="0" w:color="auto"/>
        <w:right w:val="none" w:sz="0" w:space="0" w:color="auto"/>
      </w:divBdr>
    </w:div>
    <w:div w:id="1445346260">
      <w:bodyDiv w:val="1"/>
      <w:marLeft w:val="0"/>
      <w:marRight w:val="0"/>
      <w:marTop w:val="0"/>
      <w:marBottom w:val="0"/>
      <w:divBdr>
        <w:top w:val="none" w:sz="0" w:space="0" w:color="auto"/>
        <w:left w:val="none" w:sz="0" w:space="0" w:color="auto"/>
        <w:bottom w:val="none" w:sz="0" w:space="0" w:color="auto"/>
        <w:right w:val="none" w:sz="0" w:space="0" w:color="auto"/>
      </w:divBdr>
    </w:div>
    <w:div w:id="195501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B2B18-3EFE-4CA2-91F2-03E764982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Pages>
  <Words>1320</Words>
  <Characters>7528</Characters>
  <Application>Microsoft Office Word</Application>
  <DocSecurity>0</DocSecurity>
  <Lines>62</Lines>
  <Paragraphs>17</Paragraphs>
  <ScaleCrop>false</ScaleCrop>
  <HeadingPairs>
    <vt:vector size="2" baseType="variant">
      <vt:variant>
        <vt:lpstr>Títol</vt:lpstr>
      </vt:variant>
      <vt:variant>
        <vt:i4>1</vt:i4>
      </vt:variant>
    </vt:vector>
  </HeadingPairs>
  <TitlesOfParts>
    <vt:vector size="1" baseType="lpstr">
      <vt:lpstr/>
    </vt:vector>
  </TitlesOfParts>
  <Company>Diputació de Barcelona</Company>
  <LinksUpToDate>false</LinksUpToDate>
  <CharactersWithSpaces>8831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navalonnx</dc:creator>
  <cp:keywords/>
  <dc:description/>
  <cp:lastModifiedBy>tarradasml</cp:lastModifiedBy>
  <cp:revision>19</cp:revision>
  <cp:lastPrinted>2018-11-13T11:31:00Z</cp:lastPrinted>
  <dcterms:created xsi:type="dcterms:W3CDTF">2015-12-23T09:11:00Z</dcterms:created>
  <dcterms:modified xsi:type="dcterms:W3CDTF">2018-11-13T11:31:00Z</dcterms:modified>
</cp:coreProperties>
</file>